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19DA" w:rsidRDefault="00DB78FB" w:rsidP="005219DA">
      <w:pPr>
        <w:jc w:val="center"/>
      </w:pPr>
      <w:bookmarkStart w:id="0" w:name="_GoBack"/>
      <w:bookmarkEnd w:id="0"/>
      <w:r>
        <w:rPr>
          <w:noProof/>
          <w:lang w:val="fr-CA" w:eastAsia="fr-CA"/>
        </w:rPr>
        <w:drawing>
          <wp:anchor distT="0" distB="0" distL="114300" distR="114300" simplePos="0" relativeHeight="251671552" behindDoc="0" locked="0" layoutInCell="1" allowOverlap="1">
            <wp:simplePos x="0" y="0"/>
            <wp:positionH relativeFrom="column">
              <wp:posOffset>-906145</wp:posOffset>
            </wp:positionH>
            <wp:positionV relativeFrom="paragraph">
              <wp:posOffset>-886460</wp:posOffset>
            </wp:positionV>
            <wp:extent cx="1993265" cy="10034270"/>
            <wp:effectExtent l="0" t="0" r="6985" b="5080"/>
            <wp:wrapNone/>
            <wp:docPr id="29"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3265" cy="10034270"/>
                    </a:xfrm>
                    <a:prstGeom prst="rect">
                      <a:avLst/>
                    </a:prstGeom>
                    <a:noFill/>
                  </pic:spPr>
                </pic:pic>
              </a:graphicData>
            </a:graphic>
            <wp14:sizeRelH relativeFrom="page">
              <wp14:pctWidth>0</wp14:pctWidth>
            </wp14:sizeRelH>
            <wp14:sizeRelV relativeFrom="page">
              <wp14:pctHeight>0</wp14:pctHeight>
            </wp14:sizeRelV>
          </wp:anchor>
        </w:drawing>
      </w:r>
    </w:p>
    <w:p w:rsidR="005219DA" w:rsidRDefault="005219DA" w:rsidP="005219DA">
      <w:pPr>
        <w:jc w:val="center"/>
      </w:pPr>
    </w:p>
    <w:p w:rsidR="005219DA" w:rsidRDefault="005219DA" w:rsidP="005219DA">
      <w:pPr>
        <w:jc w:val="center"/>
      </w:pPr>
    </w:p>
    <w:p w:rsidR="005219DA" w:rsidRDefault="005219DA" w:rsidP="005219DA">
      <w:pPr>
        <w:jc w:val="center"/>
      </w:pPr>
    </w:p>
    <w:p w:rsidR="005219DA" w:rsidRDefault="00431F6B" w:rsidP="00431F6B">
      <w:pPr>
        <w:ind w:left="2127"/>
        <w:jc w:val="center"/>
        <w:rPr>
          <w:sz w:val="36"/>
          <w:szCs w:val="36"/>
        </w:rPr>
      </w:pPr>
      <w:r>
        <w:rPr>
          <w:sz w:val="36"/>
          <w:szCs w:val="36"/>
        </w:rPr>
        <w:t>Portrait historique</w:t>
      </w:r>
      <w:r w:rsidR="00C34D0A">
        <w:rPr>
          <w:sz w:val="36"/>
          <w:szCs w:val="36"/>
        </w:rPr>
        <w:t xml:space="preserve"> (6.3.1) </w:t>
      </w:r>
      <w:r>
        <w:rPr>
          <w:sz w:val="36"/>
          <w:szCs w:val="36"/>
        </w:rPr>
        <w:t>et objectifs selon l’indicateur 6.3.8 a</w:t>
      </w:r>
      <w:r w:rsidR="001871DC">
        <w:rPr>
          <w:sz w:val="36"/>
          <w:szCs w:val="36"/>
        </w:rPr>
        <w:t>.</w:t>
      </w:r>
      <w:r>
        <w:rPr>
          <w:sz w:val="36"/>
          <w:szCs w:val="36"/>
        </w:rPr>
        <w:t xml:space="preserve"> </w:t>
      </w:r>
    </w:p>
    <w:p w:rsidR="00C34D0A" w:rsidRDefault="00C34D0A" w:rsidP="00431F6B">
      <w:pPr>
        <w:ind w:left="2127"/>
        <w:jc w:val="center"/>
        <w:rPr>
          <w:sz w:val="36"/>
          <w:szCs w:val="36"/>
        </w:rPr>
      </w:pPr>
    </w:p>
    <w:p w:rsidR="001871DC" w:rsidRPr="004A2468" w:rsidRDefault="001871DC" w:rsidP="00431F6B">
      <w:pPr>
        <w:ind w:left="2127"/>
        <w:jc w:val="center"/>
        <w:rPr>
          <w:sz w:val="36"/>
          <w:szCs w:val="36"/>
        </w:rPr>
      </w:pPr>
      <w:r>
        <w:rPr>
          <w:sz w:val="36"/>
          <w:szCs w:val="36"/>
        </w:rPr>
        <w:t>Pour l’UA 062-51 et UA 062-52</w:t>
      </w:r>
    </w:p>
    <w:p w:rsidR="005219DA" w:rsidRDefault="005219DA" w:rsidP="005219DA">
      <w:pPr>
        <w:jc w:val="center"/>
        <w:rPr>
          <w:sz w:val="36"/>
          <w:szCs w:val="36"/>
        </w:rPr>
      </w:pPr>
    </w:p>
    <w:p w:rsidR="001871DC" w:rsidRDefault="001871DC" w:rsidP="005219DA">
      <w:pPr>
        <w:jc w:val="center"/>
        <w:rPr>
          <w:sz w:val="36"/>
          <w:szCs w:val="36"/>
        </w:rPr>
      </w:pPr>
    </w:p>
    <w:p w:rsidR="001871DC" w:rsidRDefault="001871DC" w:rsidP="005219DA">
      <w:pPr>
        <w:jc w:val="center"/>
        <w:rPr>
          <w:sz w:val="36"/>
          <w:szCs w:val="36"/>
        </w:rPr>
      </w:pPr>
    </w:p>
    <w:p w:rsidR="001871DC" w:rsidRPr="004A2468" w:rsidRDefault="001871DC" w:rsidP="005219DA">
      <w:pPr>
        <w:jc w:val="center"/>
        <w:rPr>
          <w:sz w:val="36"/>
          <w:szCs w:val="36"/>
        </w:rPr>
      </w:pPr>
    </w:p>
    <w:p w:rsidR="005219DA" w:rsidRPr="001871DC" w:rsidRDefault="005219DA" w:rsidP="00CE5299">
      <w:pPr>
        <w:ind w:left="1985"/>
        <w:jc w:val="center"/>
        <w:rPr>
          <w:sz w:val="28"/>
          <w:szCs w:val="28"/>
        </w:rPr>
      </w:pPr>
      <w:r w:rsidRPr="001871DC">
        <w:rPr>
          <w:sz w:val="28"/>
          <w:szCs w:val="28"/>
        </w:rPr>
        <w:t>Certification FSC selon la norme Grands</w:t>
      </w:r>
      <w:r w:rsidR="00C34D0A">
        <w:rPr>
          <w:sz w:val="28"/>
          <w:szCs w:val="28"/>
        </w:rPr>
        <w:t xml:space="preserve"> </w:t>
      </w:r>
      <w:r w:rsidRPr="001871DC">
        <w:rPr>
          <w:sz w:val="28"/>
          <w:szCs w:val="28"/>
        </w:rPr>
        <w:t>Lacs S</w:t>
      </w:r>
      <w:r w:rsidR="00C34D0A">
        <w:rPr>
          <w:sz w:val="28"/>
          <w:szCs w:val="28"/>
        </w:rPr>
        <w:t>aint</w:t>
      </w:r>
      <w:r w:rsidRPr="001871DC">
        <w:rPr>
          <w:sz w:val="28"/>
          <w:szCs w:val="28"/>
        </w:rPr>
        <w:t>-Laurent</w:t>
      </w:r>
    </w:p>
    <w:p w:rsidR="005219DA" w:rsidRDefault="005219DA" w:rsidP="005219DA">
      <w:pPr>
        <w:jc w:val="center"/>
        <w:rPr>
          <w:sz w:val="36"/>
          <w:szCs w:val="36"/>
        </w:rPr>
      </w:pPr>
      <w:bookmarkStart w:id="1" w:name="_Toc330969015"/>
      <w:bookmarkStart w:id="2" w:name="_Toc339020602"/>
      <w:bookmarkStart w:id="3" w:name="_Toc339020625"/>
      <w:bookmarkStart w:id="4" w:name="_Toc422129797"/>
      <w:bookmarkEnd w:id="1"/>
      <w:bookmarkEnd w:id="2"/>
      <w:bookmarkEnd w:id="3"/>
      <w:bookmarkEnd w:id="4"/>
    </w:p>
    <w:p w:rsidR="005848E7" w:rsidRDefault="005848E7" w:rsidP="00F42D0E">
      <w:pPr>
        <w:rPr>
          <w:sz w:val="36"/>
          <w:szCs w:val="36"/>
        </w:rPr>
      </w:pPr>
    </w:p>
    <w:p w:rsidR="005848E7" w:rsidRPr="004A2468" w:rsidRDefault="005848E7" w:rsidP="005219DA">
      <w:pPr>
        <w:jc w:val="center"/>
        <w:rPr>
          <w:sz w:val="36"/>
          <w:szCs w:val="36"/>
        </w:rPr>
      </w:pPr>
    </w:p>
    <w:p w:rsidR="005219DA" w:rsidRPr="001871DC" w:rsidRDefault="005219DA" w:rsidP="00CE5299">
      <w:pPr>
        <w:ind w:left="2268"/>
        <w:jc w:val="center"/>
        <w:rPr>
          <w:sz w:val="28"/>
          <w:szCs w:val="28"/>
        </w:rPr>
      </w:pPr>
      <w:r w:rsidRPr="001871DC">
        <w:rPr>
          <w:sz w:val="28"/>
          <w:szCs w:val="28"/>
        </w:rPr>
        <w:t>Préparé par</w:t>
      </w:r>
    </w:p>
    <w:p w:rsidR="005219DA" w:rsidRPr="004A2468" w:rsidRDefault="005219DA" w:rsidP="00CE5299">
      <w:pPr>
        <w:ind w:left="2268"/>
        <w:jc w:val="center"/>
        <w:rPr>
          <w:sz w:val="32"/>
          <w:szCs w:val="32"/>
        </w:rPr>
      </w:pPr>
    </w:p>
    <w:p w:rsidR="005219DA" w:rsidRPr="004A2468" w:rsidRDefault="00DB78FB" w:rsidP="00CE5299">
      <w:pPr>
        <w:ind w:left="2268"/>
        <w:jc w:val="center"/>
        <w:rPr>
          <w:sz w:val="32"/>
          <w:szCs w:val="32"/>
        </w:rPr>
      </w:pPr>
      <w:r>
        <w:rPr>
          <w:noProof/>
          <w:lang w:val="fr-CA" w:eastAsia="fr-CA"/>
        </w:rPr>
        <w:drawing>
          <wp:inline distT="0" distB="0" distL="0" distR="0">
            <wp:extent cx="1965960" cy="838200"/>
            <wp:effectExtent l="0" t="0" r="0" b="0"/>
            <wp:docPr id="1" name="Image 1" descr="NovaSylva-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vaSylva-12"/>
                    <pic:cNvPicPr>
                      <a:picLocks noChangeAspect="1" noChangeArrowheads="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19231" t="34525" r="18266" b="38731"/>
                    <a:stretch>
                      <a:fillRect/>
                    </a:stretch>
                  </pic:blipFill>
                  <pic:spPr bwMode="auto">
                    <a:xfrm>
                      <a:off x="0" y="0"/>
                      <a:ext cx="1965960" cy="838200"/>
                    </a:xfrm>
                    <a:prstGeom prst="rect">
                      <a:avLst/>
                    </a:prstGeom>
                    <a:noFill/>
                    <a:ln>
                      <a:noFill/>
                    </a:ln>
                  </pic:spPr>
                </pic:pic>
              </a:graphicData>
            </a:graphic>
          </wp:inline>
        </w:drawing>
      </w:r>
    </w:p>
    <w:p w:rsidR="005219DA" w:rsidRPr="004A2468" w:rsidRDefault="005219DA" w:rsidP="00CE5299">
      <w:pPr>
        <w:ind w:left="2268"/>
        <w:jc w:val="center"/>
        <w:rPr>
          <w:sz w:val="32"/>
          <w:szCs w:val="32"/>
        </w:rPr>
      </w:pPr>
    </w:p>
    <w:p w:rsidR="005219DA" w:rsidRDefault="005219DA" w:rsidP="00CE5299">
      <w:pPr>
        <w:ind w:left="2268"/>
        <w:jc w:val="center"/>
        <w:rPr>
          <w:sz w:val="32"/>
          <w:szCs w:val="32"/>
          <w:lang w:val="en-US"/>
        </w:rPr>
      </w:pPr>
    </w:p>
    <w:p w:rsidR="001871DC" w:rsidRDefault="001871DC" w:rsidP="00CE5299">
      <w:pPr>
        <w:ind w:left="2268"/>
        <w:jc w:val="center"/>
        <w:rPr>
          <w:sz w:val="32"/>
          <w:szCs w:val="32"/>
          <w:lang w:val="en-US"/>
        </w:rPr>
      </w:pPr>
    </w:p>
    <w:p w:rsidR="001871DC" w:rsidRPr="00847808" w:rsidRDefault="001871DC" w:rsidP="00CE5299">
      <w:pPr>
        <w:ind w:left="2268"/>
        <w:jc w:val="center"/>
        <w:rPr>
          <w:sz w:val="32"/>
          <w:szCs w:val="32"/>
          <w:lang w:val="en-US"/>
        </w:rPr>
      </w:pPr>
    </w:p>
    <w:p w:rsidR="005219DA" w:rsidRPr="00847808" w:rsidRDefault="005219DA" w:rsidP="00CE5299">
      <w:pPr>
        <w:ind w:left="2268"/>
        <w:jc w:val="center"/>
        <w:rPr>
          <w:sz w:val="32"/>
          <w:szCs w:val="32"/>
          <w:lang w:val="en-US"/>
        </w:rPr>
      </w:pPr>
    </w:p>
    <w:p w:rsidR="00847808" w:rsidRDefault="00847808" w:rsidP="00CE5299">
      <w:pPr>
        <w:ind w:left="2268"/>
        <w:rPr>
          <w:lang w:val="en-US"/>
        </w:rPr>
      </w:pPr>
    </w:p>
    <w:p w:rsidR="00847808" w:rsidRDefault="00847808" w:rsidP="00CE5299">
      <w:pPr>
        <w:ind w:left="2268"/>
        <w:rPr>
          <w:lang w:val="en-US"/>
        </w:rPr>
      </w:pPr>
    </w:p>
    <w:p w:rsidR="001871DC" w:rsidRDefault="001871DC" w:rsidP="00CE5299">
      <w:pPr>
        <w:ind w:left="2268"/>
        <w:rPr>
          <w:lang w:val="en-US"/>
        </w:rPr>
      </w:pPr>
    </w:p>
    <w:p w:rsidR="001871DC" w:rsidRPr="00847808" w:rsidRDefault="001871DC" w:rsidP="00CE5299">
      <w:pPr>
        <w:ind w:left="2268"/>
        <w:rPr>
          <w:lang w:val="en-US"/>
        </w:rPr>
      </w:pPr>
    </w:p>
    <w:p w:rsidR="001C4327" w:rsidRDefault="00DB78FB" w:rsidP="00CE5299">
      <w:pPr>
        <w:ind w:left="2268"/>
        <w:jc w:val="center"/>
        <w:rPr>
          <w:sz w:val="36"/>
          <w:szCs w:val="36"/>
        </w:rPr>
      </w:pPr>
      <w:r>
        <w:rPr>
          <w:noProof/>
          <w:sz w:val="36"/>
          <w:szCs w:val="36"/>
          <w:lang w:val="fr-CA" w:eastAsia="fr-CA"/>
        </w:rPr>
        <w:drawing>
          <wp:inline distT="0" distB="0" distL="0" distR="0">
            <wp:extent cx="2057400" cy="556260"/>
            <wp:effectExtent l="0" t="0" r="0" b="0"/>
            <wp:docPr id="2" name="Imag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7400" cy="556260"/>
                    </a:xfrm>
                    <a:prstGeom prst="rect">
                      <a:avLst/>
                    </a:prstGeom>
                    <a:noFill/>
                    <a:ln>
                      <a:noFill/>
                    </a:ln>
                  </pic:spPr>
                </pic:pic>
              </a:graphicData>
            </a:graphic>
          </wp:inline>
        </w:drawing>
      </w:r>
      <w:r w:rsidR="001C4327">
        <w:rPr>
          <w:sz w:val="36"/>
          <w:szCs w:val="36"/>
        </w:rPr>
        <w:t xml:space="preserve"> </w:t>
      </w:r>
    </w:p>
    <w:p w:rsidR="001C4327" w:rsidRDefault="001C4327" w:rsidP="00CE5299">
      <w:pPr>
        <w:ind w:left="2268"/>
        <w:jc w:val="center"/>
        <w:rPr>
          <w:sz w:val="36"/>
          <w:szCs w:val="36"/>
        </w:rPr>
      </w:pPr>
    </w:p>
    <w:p w:rsidR="00203460" w:rsidRPr="001871DC" w:rsidRDefault="00CE5299" w:rsidP="00CE5299">
      <w:pPr>
        <w:ind w:left="2268"/>
        <w:jc w:val="center"/>
        <w:rPr>
          <w:sz w:val="28"/>
          <w:szCs w:val="28"/>
        </w:rPr>
      </w:pPr>
      <w:r w:rsidRPr="001871DC">
        <w:rPr>
          <w:sz w:val="28"/>
          <w:szCs w:val="28"/>
        </w:rPr>
        <w:t>Mai</w:t>
      </w:r>
      <w:r w:rsidR="00162CBA" w:rsidRPr="001871DC">
        <w:rPr>
          <w:sz w:val="28"/>
          <w:szCs w:val="28"/>
        </w:rPr>
        <w:t xml:space="preserve"> 201</w:t>
      </w:r>
      <w:r w:rsidRPr="001871DC">
        <w:rPr>
          <w:sz w:val="28"/>
          <w:szCs w:val="28"/>
        </w:rPr>
        <w:t>7</w:t>
      </w:r>
    </w:p>
    <w:p w:rsidR="00301732" w:rsidRDefault="00203460" w:rsidP="00203460">
      <w:pPr>
        <w:rPr>
          <w:sz w:val="36"/>
          <w:szCs w:val="36"/>
        </w:rPr>
      </w:pPr>
      <w:r>
        <w:rPr>
          <w:sz w:val="36"/>
          <w:szCs w:val="36"/>
        </w:rPr>
        <w:br w:type="page"/>
      </w:r>
    </w:p>
    <w:p w:rsidR="00301732" w:rsidRDefault="00301732" w:rsidP="00203460">
      <w:pPr>
        <w:rPr>
          <w:sz w:val="36"/>
          <w:szCs w:val="36"/>
        </w:rPr>
      </w:pPr>
    </w:p>
    <w:p w:rsidR="00301732" w:rsidRDefault="00301732" w:rsidP="00203460">
      <w:pPr>
        <w:rPr>
          <w:sz w:val="36"/>
          <w:szCs w:val="36"/>
        </w:rPr>
      </w:pPr>
    </w:p>
    <w:p w:rsidR="00301732" w:rsidRDefault="00301732" w:rsidP="00203460">
      <w:pPr>
        <w:rPr>
          <w:sz w:val="36"/>
          <w:szCs w:val="36"/>
        </w:rPr>
      </w:pPr>
    </w:p>
    <w:p w:rsidR="00301732" w:rsidRDefault="00301732" w:rsidP="00203460">
      <w:pPr>
        <w:rPr>
          <w:sz w:val="36"/>
          <w:szCs w:val="36"/>
        </w:rPr>
      </w:pPr>
    </w:p>
    <w:p w:rsidR="00301732" w:rsidRDefault="00301732" w:rsidP="00203460">
      <w:pPr>
        <w:rPr>
          <w:sz w:val="36"/>
          <w:szCs w:val="36"/>
        </w:rPr>
      </w:pPr>
    </w:p>
    <w:p w:rsidR="00301732" w:rsidRDefault="00301732" w:rsidP="00203460">
      <w:pPr>
        <w:rPr>
          <w:sz w:val="36"/>
          <w:szCs w:val="36"/>
        </w:rPr>
      </w:pPr>
    </w:p>
    <w:p w:rsidR="00301732" w:rsidRDefault="00301732" w:rsidP="00203460">
      <w:pPr>
        <w:rPr>
          <w:sz w:val="36"/>
          <w:szCs w:val="36"/>
        </w:rPr>
      </w:pPr>
    </w:p>
    <w:p w:rsidR="00301732" w:rsidRDefault="00301732" w:rsidP="00203460">
      <w:pPr>
        <w:rPr>
          <w:sz w:val="36"/>
          <w:szCs w:val="36"/>
        </w:rPr>
      </w:pPr>
    </w:p>
    <w:p w:rsidR="00301732" w:rsidRDefault="00301732" w:rsidP="00203460">
      <w:pPr>
        <w:rPr>
          <w:sz w:val="36"/>
          <w:szCs w:val="36"/>
        </w:rPr>
      </w:pPr>
    </w:p>
    <w:p w:rsidR="00301732" w:rsidRPr="00C4342C" w:rsidRDefault="00301732" w:rsidP="00203460">
      <w:pPr>
        <w:rPr>
          <w:sz w:val="36"/>
          <w:szCs w:val="36"/>
        </w:rPr>
      </w:pPr>
    </w:p>
    <w:p w:rsidR="00301732" w:rsidRPr="00C4342C" w:rsidRDefault="00301732" w:rsidP="00203460">
      <w:pPr>
        <w:rPr>
          <w:sz w:val="36"/>
          <w:szCs w:val="36"/>
        </w:rPr>
      </w:pPr>
    </w:p>
    <w:p w:rsidR="009C7BC9" w:rsidRDefault="009C7BC9" w:rsidP="005848E7">
      <w:pPr>
        <w:rPr>
          <w:b/>
        </w:rPr>
      </w:pPr>
    </w:p>
    <w:p w:rsidR="009C7BC9" w:rsidRDefault="009C7BC9" w:rsidP="005848E7">
      <w:pPr>
        <w:rPr>
          <w:b/>
        </w:rPr>
      </w:pPr>
    </w:p>
    <w:p w:rsidR="009C7BC9" w:rsidRDefault="009C7BC9" w:rsidP="005848E7">
      <w:pPr>
        <w:rPr>
          <w:b/>
        </w:rPr>
      </w:pPr>
    </w:p>
    <w:p w:rsidR="009C7BC9" w:rsidRDefault="009C7BC9" w:rsidP="005848E7">
      <w:pPr>
        <w:rPr>
          <w:b/>
        </w:rPr>
      </w:pPr>
    </w:p>
    <w:p w:rsidR="009C7BC9" w:rsidRDefault="009C7BC9" w:rsidP="005848E7">
      <w:pPr>
        <w:rPr>
          <w:b/>
        </w:rPr>
      </w:pPr>
    </w:p>
    <w:p w:rsidR="009C7BC9" w:rsidRDefault="009C7BC9" w:rsidP="005848E7">
      <w:pPr>
        <w:rPr>
          <w:b/>
        </w:rPr>
      </w:pPr>
    </w:p>
    <w:p w:rsidR="009C7BC9" w:rsidRDefault="009C7BC9" w:rsidP="005848E7">
      <w:pPr>
        <w:rPr>
          <w:b/>
        </w:rPr>
      </w:pPr>
    </w:p>
    <w:p w:rsidR="009C7BC9" w:rsidRDefault="009C7BC9" w:rsidP="005848E7">
      <w:pPr>
        <w:rPr>
          <w:b/>
        </w:rPr>
      </w:pPr>
    </w:p>
    <w:p w:rsidR="009C7BC9" w:rsidRDefault="009C7BC9" w:rsidP="005848E7">
      <w:pPr>
        <w:rPr>
          <w:b/>
        </w:rPr>
      </w:pPr>
    </w:p>
    <w:p w:rsidR="009C7BC9" w:rsidRDefault="009C7BC9" w:rsidP="005848E7">
      <w:pPr>
        <w:rPr>
          <w:b/>
        </w:rPr>
      </w:pPr>
    </w:p>
    <w:p w:rsidR="009C7BC9" w:rsidRDefault="009C7BC9" w:rsidP="005848E7">
      <w:pPr>
        <w:rPr>
          <w:b/>
        </w:rPr>
      </w:pPr>
    </w:p>
    <w:p w:rsidR="009C7BC9" w:rsidRDefault="009C7BC9" w:rsidP="005848E7">
      <w:pPr>
        <w:rPr>
          <w:b/>
        </w:rPr>
      </w:pPr>
    </w:p>
    <w:p w:rsidR="009C7BC9" w:rsidRDefault="009C7BC9" w:rsidP="005848E7">
      <w:pPr>
        <w:rPr>
          <w:b/>
        </w:rPr>
      </w:pPr>
    </w:p>
    <w:p w:rsidR="009C7BC9" w:rsidRDefault="009C7BC9" w:rsidP="005848E7">
      <w:pPr>
        <w:rPr>
          <w:b/>
        </w:rPr>
      </w:pPr>
    </w:p>
    <w:p w:rsidR="009C7BC9" w:rsidRDefault="009C7BC9" w:rsidP="005848E7">
      <w:pPr>
        <w:rPr>
          <w:b/>
        </w:rPr>
      </w:pPr>
    </w:p>
    <w:p w:rsidR="009C7BC9" w:rsidRDefault="009C7BC9" w:rsidP="005848E7">
      <w:pPr>
        <w:rPr>
          <w:b/>
        </w:rPr>
      </w:pPr>
    </w:p>
    <w:p w:rsidR="009C7BC9" w:rsidRDefault="009C7BC9" w:rsidP="005848E7">
      <w:pPr>
        <w:rPr>
          <w:b/>
        </w:rPr>
      </w:pPr>
    </w:p>
    <w:p w:rsidR="009C7BC9" w:rsidRDefault="009C7BC9" w:rsidP="005848E7">
      <w:pPr>
        <w:rPr>
          <w:b/>
        </w:rPr>
      </w:pPr>
    </w:p>
    <w:p w:rsidR="009C7BC9" w:rsidRDefault="009C7BC9" w:rsidP="005848E7">
      <w:pPr>
        <w:rPr>
          <w:b/>
        </w:rPr>
      </w:pPr>
    </w:p>
    <w:p w:rsidR="009C7BC9" w:rsidRDefault="009C7BC9" w:rsidP="005848E7">
      <w:pPr>
        <w:rPr>
          <w:b/>
        </w:rPr>
      </w:pPr>
    </w:p>
    <w:p w:rsidR="009C7BC9" w:rsidRDefault="009C7BC9" w:rsidP="005848E7">
      <w:pPr>
        <w:rPr>
          <w:b/>
        </w:rPr>
      </w:pPr>
    </w:p>
    <w:p w:rsidR="009C7BC9" w:rsidRDefault="009C7BC9" w:rsidP="005848E7">
      <w:pPr>
        <w:rPr>
          <w:b/>
        </w:rPr>
      </w:pPr>
    </w:p>
    <w:p w:rsidR="009C7BC9" w:rsidRDefault="009C7BC9" w:rsidP="005848E7">
      <w:pPr>
        <w:rPr>
          <w:b/>
        </w:rPr>
      </w:pPr>
    </w:p>
    <w:p w:rsidR="009C7BC9" w:rsidRDefault="009C7BC9" w:rsidP="005848E7">
      <w:pPr>
        <w:rPr>
          <w:b/>
        </w:rPr>
      </w:pPr>
    </w:p>
    <w:p w:rsidR="009C7BC9" w:rsidRDefault="009C7BC9" w:rsidP="005848E7">
      <w:pPr>
        <w:rPr>
          <w:b/>
        </w:rPr>
      </w:pPr>
    </w:p>
    <w:p w:rsidR="005848E7" w:rsidRPr="00C4342C" w:rsidRDefault="005848E7" w:rsidP="005848E7">
      <w:pPr>
        <w:rPr>
          <w:b/>
        </w:rPr>
      </w:pPr>
      <w:r w:rsidRPr="00C4342C">
        <w:rPr>
          <w:b/>
        </w:rPr>
        <w:t>Auteurs :</w:t>
      </w:r>
    </w:p>
    <w:p w:rsidR="005219DA" w:rsidRPr="00F42D0E" w:rsidRDefault="005219DA" w:rsidP="005219DA"/>
    <w:p w:rsidR="00CE5299" w:rsidRDefault="00CE5299" w:rsidP="00CE5299">
      <w:r w:rsidRPr="00C4342C">
        <w:rPr>
          <w:u w:val="single"/>
        </w:rPr>
        <w:t>Versions de mai 201</w:t>
      </w:r>
      <w:r>
        <w:rPr>
          <w:u w:val="single"/>
        </w:rPr>
        <w:t>7</w:t>
      </w:r>
      <w:r w:rsidRPr="00C4342C">
        <w:rPr>
          <w:u w:val="single"/>
        </w:rPr>
        <w:t xml:space="preserve"> préparées par :</w:t>
      </w:r>
    </w:p>
    <w:p w:rsidR="00CE5299" w:rsidRDefault="00CE5299" w:rsidP="00CE5299">
      <w:r w:rsidRPr="00C4342C">
        <w:rPr>
          <w:lang w:val="fr-CA"/>
        </w:rPr>
        <w:t>Vincent McCullough, ing.f., M.Sc., Nova Sylva inc.</w:t>
      </w:r>
    </w:p>
    <w:p w:rsidR="005219DA" w:rsidRDefault="00431F6B" w:rsidP="005219DA">
      <w:pPr>
        <w:rPr>
          <w:b/>
          <w:sz w:val="40"/>
          <w:szCs w:val="40"/>
        </w:rPr>
      </w:pPr>
      <w:r>
        <w:rPr>
          <w:b/>
          <w:sz w:val="40"/>
          <w:szCs w:val="40"/>
        </w:rPr>
        <w:br w:type="page"/>
      </w:r>
      <w:r w:rsidR="005219DA" w:rsidRPr="004A2468">
        <w:rPr>
          <w:b/>
          <w:sz w:val="40"/>
          <w:szCs w:val="40"/>
        </w:rPr>
        <w:lastRenderedPageBreak/>
        <w:t>Table des matières</w:t>
      </w:r>
    </w:p>
    <w:p w:rsidR="00B56008" w:rsidRPr="004A2468" w:rsidRDefault="00B56008" w:rsidP="005219DA">
      <w:pPr>
        <w:rPr>
          <w:b/>
          <w:sz w:val="40"/>
          <w:szCs w:val="40"/>
        </w:rPr>
      </w:pPr>
    </w:p>
    <w:p w:rsidR="00CE7AA3" w:rsidRDefault="0031375E">
      <w:pPr>
        <w:pStyle w:val="TM1"/>
        <w:tabs>
          <w:tab w:val="left" w:pos="480"/>
        </w:tabs>
        <w:rPr>
          <w:rFonts w:asciiTheme="minorHAnsi" w:eastAsiaTheme="minorEastAsia" w:hAnsiTheme="minorHAnsi" w:cstheme="minorBidi"/>
          <w:b w:val="0"/>
          <w:sz w:val="22"/>
          <w:szCs w:val="22"/>
          <w:lang w:val="fr-CA" w:eastAsia="fr-CA"/>
        </w:rPr>
      </w:pPr>
      <w:r w:rsidRPr="004A2468">
        <w:fldChar w:fldCharType="begin"/>
      </w:r>
      <w:r w:rsidR="005219DA" w:rsidRPr="004A2468">
        <w:instrText xml:space="preserve"> TOC \o "1-3" \h \z \u </w:instrText>
      </w:r>
      <w:r w:rsidRPr="004A2468">
        <w:fldChar w:fldCharType="separate"/>
      </w:r>
      <w:hyperlink w:anchor="_Toc484513460" w:history="1">
        <w:r w:rsidR="00CE7AA3" w:rsidRPr="00394BAC">
          <w:rPr>
            <w:rStyle w:val="Lienhypertexte"/>
          </w:rPr>
          <w:t>1.</w:t>
        </w:r>
        <w:r w:rsidR="00CE7AA3">
          <w:rPr>
            <w:rFonts w:asciiTheme="minorHAnsi" w:eastAsiaTheme="minorEastAsia" w:hAnsiTheme="minorHAnsi" w:cstheme="minorBidi"/>
            <w:b w:val="0"/>
            <w:sz w:val="22"/>
            <w:szCs w:val="22"/>
            <w:lang w:val="fr-CA" w:eastAsia="fr-CA"/>
          </w:rPr>
          <w:tab/>
        </w:r>
        <w:r w:rsidR="00CE7AA3" w:rsidRPr="00394BAC">
          <w:rPr>
            <w:rStyle w:val="Lienhypertexte"/>
          </w:rPr>
          <w:t>Introduction</w:t>
        </w:r>
        <w:r w:rsidR="00CE7AA3">
          <w:rPr>
            <w:webHidden/>
          </w:rPr>
          <w:tab/>
        </w:r>
        <w:r w:rsidR="00CE7AA3">
          <w:rPr>
            <w:webHidden/>
          </w:rPr>
          <w:fldChar w:fldCharType="begin"/>
        </w:r>
        <w:r w:rsidR="00CE7AA3">
          <w:rPr>
            <w:webHidden/>
          </w:rPr>
          <w:instrText xml:space="preserve"> PAGEREF _Toc484513460 \h </w:instrText>
        </w:r>
        <w:r w:rsidR="00CE7AA3">
          <w:rPr>
            <w:webHidden/>
          </w:rPr>
        </w:r>
        <w:r w:rsidR="00CE7AA3">
          <w:rPr>
            <w:webHidden/>
          </w:rPr>
          <w:fldChar w:fldCharType="separate"/>
        </w:r>
        <w:r w:rsidR="00241D60">
          <w:rPr>
            <w:webHidden/>
          </w:rPr>
          <w:t>5</w:t>
        </w:r>
        <w:r w:rsidR="00CE7AA3">
          <w:rPr>
            <w:webHidden/>
          </w:rPr>
          <w:fldChar w:fldCharType="end"/>
        </w:r>
      </w:hyperlink>
    </w:p>
    <w:p w:rsidR="00CE7AA3" w:rsidRDefault="00FD33B5">
      <w:pPr>
        <w:pStyle w:val="TM1"/>
        <w:tabs>
          <w:tab w:val="left" w:pos="480"/>
        </w:tabs>
        <w:rPr>
          <w:rFonts w:asciiTheme="minorHAnsi" w:eastAsiaTheme="minorEastAsia" w:hAnsiTheme="minorHAnsi" w:cstheme="minorBidi"/>
          <w:b w:val="0"/>
          <w:sz w:val="22"/>
          <w:szCs w:val="22"/>
          <w:lang w:val="fr-CA" w:eastAsia="fr-CA"/>
        </w:rPr>
      </w:pPr>
      <w:hyperlink w:anchor="_Toc484513461" w:history="1">
        <w:r w:rsidR="00CE7AA3" w:rsidRPr="00394BAC">
          <w:rPr>
            <w:rStyle w:val="Lienhypertexte"/>
          </w:rPr>
          <w:t>2.</w:t>
        </w:r>
        <w:r w:rsidR="00CE7AA3">
          <w:rPr>
            <w:rFonts w:asciiTheme="minorHAnsi" w:eastAsiaTheme="minorEastAsia" w:hAnsiTheme="minorHAnsi" w:cstheme="minorBidi"/>
            <w:b w:val="0"/>
            <w:sz w:val="22"/>
            <w:szCs w:val="22"/>
            <w:lang w:val="fr-CA" w:eastAsia="fr-CA"/>
          </w:rPr>
          <w:tab/>
        </w:r>
        <w:r w:rsidR="00CE7AA3" w:rsidRPr="00394BAC">
          <w:rPr>
            <w:rStyle w:val="Lienhypertexte"/>
          </w:rPr>
          <w:t>Localisation générale</w:t>
        </w:r>
        <w:r w:rsidR="00CE7AA3">
          <w:rPr>
            <w:webHidden/>
          </w:rPr>
          <w:tab/>
        </w:r>
        <w:r w:rsidR="00CE7AA3">
          <w:rPr>
            <w:webHidden/>
          </w:rPr>
          <w:fldChar w:fldCharType="begin"/>
        </w:r>
        <w:r w:rsidR="00CE7AA3">
          <w:rPr>
            <w:webHidden/>
          </w:rPr>
          <w:instrText xml:space="preserve"> PAGEREF _Toc484513461 \h </w:instrText>
        </w:r>
        <w:r w:rsidR="00CE7AA3">
          <w:rPr>
            <w:webHidden/>
          </w:rPr>
        </w:r>
        <w:r w:rsidR="00CE7AA3">
          <w:rPr>
            <w:webHidden/>
          </w:rPr>
          <w:fldChar w:fldCharType="separate"/>
        </w:r>
        <w:r w:rsidR="00241D60">
          <w:rPr>
            <w:webHidden/>
          </w:rPr>
          <w:t>5</w:t>
        </w:r>
        <w:r w:rsidR="00CE7AA3">
          <w:rPr>
            <w:webHidden/>
          </w:rPr>
          <w:fldChar w:fldCharType="end"/>
        </w:r>
      </w:hyperlink>
    </w:p>
    <w:p w:rsidR="00CE7AA3" w:rsidRDefault="00FD33B5">
      <w:pPr>
        <w:pStyle w:val="TM3"/>
        <w:tabs>
          <w:tab w:val="right" w:leader="dot" w:pos="9396"/>
        </w:tabs>
        <w:rPr>
          <w:rFonts w:asciiTheme="minorHAnsi" w:eastAsiaTheme="minorEastAsia" w:hAnsiTheme="minorHAnsi" w:cstheme="minorBidi"/>
          <w:noProof/>
          <w:sz w:val="22"/>
          <w:szCs w:val="22"/>
          <w:lang w:val="fr-CA" w:eastAsia="fr-CA"/>
        </w:rPr>
      </w:pPr>
      <w:hyperlink w:anchor="_Toc484513462" w:history="1">
        <w:r w:rsidR="00CE7AA3" w:rsidRPr="00394BAC">
          <w:rPr>
            <w:rStyle w:val="Lienhypertexte"/>
            <w:noProof/>
          </w:rPr>
          <w:t>Localisation</w:t>
        </w:r>
        <w:r w:rsidR="00CE7AA3">
          <w:rPr>
            <w:noProof/>
            <w:webHidden/>
          </w:rPr>
          <w:tab/>
        </w:r>
        <w:r w:rsidR="00CE7AA3">
          <w:rPr>
            <w:noProof/>
            <w:webHidden/>
          </w:rPr>
          <w:fldChar w:fldCharType="begin"/>
        </w:r>
        <w:r w:rsidR="00CE7AA3">
          <w:rPr>
            <w:noProof/>
            <w:webHidden/>
          </w:rPr>
          <w:instrText xml:space="preserve"> PAGEREF _Toc484513462 \h </w:instrText>
        </w:r>
        <w:r w:rsidR="00CE7AA3">
          <w:rPr>
            <w:noProof/>
            <w:webHidden/>
          </w:rPr>
        </w:r>
        <w:r w:rsidR="00CE7AA3">
          <w:rPr>
            <w:noProof/>
            <w:webHidden/>
          </w:rPr>
          <w:fldChar w:fldCharType="separate"/>
        </w:r>
        <w:r w:rsidR="00241D60">
          <w:rPr>
            <w:noProof/>
            <w:webHidden/>
          </w:rPr>
          <w:t>5</w:t>
        </w:r>
        <w:r w:rsidR="00CE7AA3">
          <w:rPr>
            <w:noProof/>
            <w:webHidden/>
          </w:rPr>
          <w:fldChar w:fldCharType="end"/>
        </w:r>
      </w:hyperlink>
    </w:p>
    <w:p w:rsidR="00CE7AA3" w:rsidRDefault="00FD33B5">
      <w:pPr>
        <w:pStyle w:val="TM1"/>
        <w:tabs>
          <w:tab w:val="left" w:pos="480"/>
        </w:tabs>
        <w:rPr>
          <w:rFonts w:asciiTheme="minorHAnsi" w:eastAsiaTheme="minorEastAsia" w:hAnsiTheme="minorHAnsi" w:cstheme="minorBidi"/>
          <w:b w:val="0"/>
          <w:sz w:val="22"/>
          <w:szCs w:val="22"/>
          <w:lang w:val="fr-CA" w:eastAsia="fr-CA"/>
        </w:rPr>
      </w:pPr>
      <w:hyperlink w:anchor="_Toc484513463" w:history="1">
        <w:r w:rsidR="00CE7AA3" w:rsidRPr="00394BAC">
          <w:rPr>
            <w:rStyle w:val="Lienhypertexte"/>
          </w:rPr>
          <w:t>3.</w:t>
        </w:r>
        <w:r w:rsidR="00CE7AA3">
          <w:rPr>
            <w:rFonts w:asciiTheme="minorHAnsi" w:eastAsiaTheme="minorEastAsia" w:hAnsiTheme="minorHAnsi" w:cstheme="minorBidi"/>
            <w:b w:val="0"/>
            <w:sz w:val="22"/>
            <w:szCs w:val="22"/>
            <w:lang w:val="fr-CA" w:eastAsia="fr-CA"/>
          </w:rPr>
          <w:tab/>
        </w:r>
        <w:r w:rsidR="00CE7AA3" w:rsidRPr="00394BAC">
          <w:rPr>
            <w:rStyle w:val="Lienhypertexte"/>
          </w:rPr>
          <w:t>Portrait historique</w:t>
        </w:r>
        <w:r w:rsidR="00CE7AA3">
          <w:rPr>
            <w:webHidden/>
          </w:rPr>
          <w:tab/>
        </w:r>
        <w:r w:rsidR="00CE7AA3">
          <w:rPr>
            <w:webHidden/>
          </w:rPr>
          <w:fldChar w:fldCharType="begin"/>
        </w:r>
        <w:r w:rsidR="00CE7AA3">
          <w:rPr>
            <w:webHidden/>
          </w:rPr>
          <w:instrText xml:space="preserve"> PAGEREF _Toc484513463 \h </w:instrText>
        </w:r>
        <w:r w:rsidR="00CE7AA3">
          <w:rPr>
            <w:webHidden/>
          </w:rPr>
        </w:r>
        <w:r w:rsidR="00CE7AA3">
          <w:rPr>
            <w:webHidden/>
          </w:rPr>
          <w:fldChar w:fldCharType="separate"/>
        </w:r>
        <w:r w:rsidR="00241D60">
          <w:rPr>
            <w:webHidden/>
          </w:rPr>
          <w:t>6</w:t>
        </w:r>
        <w:r w:rsidR="00CE7AA3">
          <w:rPr>
            <w:webHidden/>
          </w:rPr>
          <w:fldChar w:fldCharType="end"/>
        </w:r>
      </w:hyperlink>
    </w:p>
    <w:p w:rsidR="00CE7AA3" w:rsidRDefault="00FD33B5">
      <w:pPr>
        <w:pStyle w:val="TM2"/>
        <w:tabs>
          <w:tab w:val="left" w:pos="880"/>
          <w:tab w:val="right" w:leader="dot" w:pos="9396"/>
        </w:tabs>
        <w:rPr>
          <w:rFonts w:asciiTheme="minorHAnsi" w:eastAsiaTheme="minorEastAsia" w:hAnsiTheme="minorHAnsi" w:cstheme="minorBidi"/>
          <w:noProof/>
          <w:sz w:val="22"/>
          <w:szCs w:val="22"/>
          <w:lang w:val="fr-CA" w:eastAsia="fr-CA"/>
        </w:rPr>
      </w:pPr>
      <w:hyperlink w:anchor="_Toc484513464" w:history="1">
        <w:r w:rsidR="00CE7AA3" w:rsidRPr="00394BAC">
          <w:rPr>
            <w:rStyle w:val="Lienhypertexte"/>
            <w:noProof/>
          </w:rPr>
          <w:t>3.1</w:t>
        </w:r>
        <w:r w:rsidR="00CE7AA3">
          <w:rPr>
            <w:rFonts w:asciiTheme="minorHAnsi" w:eastAsiaTheme="minorEastAsia" w:hAnsiTheme="minorHAnsi" w:cstheme="minorBidi"/>
            <w:noProof/>
            <w:sz w:val="22"/>
            <w:szCs w:val="22"/>
            <w:lang w:val="fr-CA" w:eastAsia="fr-CA"/>
          </w:rPr>
          <w:tab/>
        </w:r>
        <w:r w:rsidR="00CE7AA3" w:rsidRPr="00394BAC">
          <w:rPr>
            <w:rStyle w:val="Lienhypertexte"/>
            <w:noProof/>
          </w:rPr>
          <w:t>Précision</w:t>
        </w:r>
        <w:r w:rsidR="00CE7AA3">
          <w:rPr>
            <w:noProof/>
            <w:webHidden/>
          </w:rPr>
          <w:tab/>
        </w:r>
        <w:r w:rsidR="00CE7AA3">
          <w:rPr>
            <w:noProof/>
            <w:webHidden/>
          </w:rPr>
          <w:fldChar w:fldCharType="begin"/>
        </w:r>
        <w:r w:rsidR="00CE7AA3">
          <w:rPr>
            <w:noProof/>
            <w:webHidden/>
          </w:rPr>
          <w:instrText xml:space="preserve"> PAGEREF _Toc484513464 \h </w:instrText>
        </w:r>
        <w:r w:rsidR="00CE7AA3">
          <w:rPr>
            <w:noProof/>
            <w:webHidden/>
          </w:rPr>
        </w:r>
        <w:r w:rsidR="00CE7AA3">
          <w:rPr>
            <w:noProof/>
            <w:webHidden/>
          </w:rPr>
          <w:fldChar w:fldCharType="separate"/>
        </w:r>
        <w:r w:rsidR="00241D60">
          <w:rPr>
            <w:noProof/>
            <w:webHidden/>
          </w:rPr>
          <w:t>6</w:t>
        </w:r>
        <w:r w:rsidR="00CE7AA3">
          <w:rPr>
            <w:noProof/>
            <w:webHidden/>
          </w:rPr>
          <w:fldChar w:fldCharType="end"/>
        </w:r>
      </w:hyperlink>
    </w:p>
    <w:p w:rsidR="00CE7AA3" w:rsidRDefault="00FD33B5">
      <w:pPr>
        <w:pStyle w:val="TM2"/>
        <w:tabs>
          <w:tab w:val="left" w:pos="880"/>
          <w:tab w:val="right" w:leader="dot" w:pos="9396"/>
        </w:tabs>
        <w:rPr>
          <w:rFonts w:asciiTheme="minorHAnsi" w:eastAsiaTheme="minorEastAsia" w:hAnsiTheme="minorHAnsi" w:cstheme="minorBidi"/>
          <w:noProof/>
          <w:sz w:val="22"/>
          <w:szCs w:val="22"/>
          <w:lang w:val="fr-CA" w:eastAsia="fr-CA"/>
        </w:rPr>
      </w:pPr>
      <w:hyperlink w:anchor="_Toc484513465" w:history="1">
        <w:r w:rsidR="00CE7AA3" w:rsidRPr="00394BAC">
          <w:rPr>
            <w:rStyle w:val="Lienhypertexte"/>
            <w:noProof/>
          </w:rPr>
          <w:t>3.2</w:t>
        </w:r>
        <w:r w:rsidR="00CE7AA3">
          <w:rPr>
            <w:rFonts w:asciiTheme="minorHAnsi" w:eastAsiaTheme="minorEastAsia" w:hAnsiTheme="minorHAnsi" w:cstheme="minorBidi"/>
            <w:noProof/>
            <w:sz w:val="22"/>
            <w:szCs w:val="22"/>
            <w:lang w:val="fr-CA" w:eastAsia="fr-CA"/>
          </w:rPr>
          <w:tab/>
        </w:r>
        <w:r w:rsidR="00CE7AA3" w:rsidRPr="00394BAC">
          <w:rPr>
            <w:rStyle w:val="Lienhypertexte"/>
            <w:noProof/>
          </w:rPr>
          <w:t>Sources utilisées</w:t>
        </w:r>
        <w:r w:rsidR="00CE7AA3">
          <w:rPr>
            <w:noProof/>
            <w:webHidden/>
          </w:rPr>
          <w:tab/>
        </w:r>
        <w:r w:rsidR="00CE7AA3">
          <w:rPr>
            <w:noProof/>
            <w:webHidden/>
          </w:rPr>
          <w:fldChar w:fldCharType="begin"/>
        </w:r>
        <w:r w:rsidR="00CE7AA3">
          <w:rPr>
            <w:noProof/>
            <w:webHidden/>
          </w:rPr>
          <w:instrText xml:space="preserve"> PAGEREF _Toc484513465 \h </w:instrText>
        </w:r>
        <w:r w:rsidR="00CE7AA3">
          <w:rPr>
            <w:noProof/>
            <w:webHidden/>
          </w:rPr>
        </w:r>
        <w:r w:rsidR="00CE7AA3">
          <w:rPr>
            <w:noProof/>
            <w:webHidden/>
          </w:rPr>
          <w:fldChar w:fldCharType="separate"/>
        </w:r>
        <w:r w:rsidR="00241D60">
          <w:rPr>
            <w:noProof/>
            <w:webHidden/>
          </w:rPr>
          <w:t>6</w:t>
        </w:r>
        <w:r w:rsidR="00CE7AA3">
          <w:rPr>
            <w:noProof/>
            <w:webHidden/>
          </w:rPr>
          <w:fldChar w:fldCharType="end"/>
        </w:r>
      </w:hyperlink>
    </w:p>
    <w:p w:rsidR="00CE7AA3" w:rsidRDefault="00FD33B5">
      <w:pPr>
        <w:pStyle w:val="TM2"/>
        <w:tabs>
          <w:tab w:val="left" w:pos="880"/>
          <w:tab w:val="right" w:leader="dot" w:pos="9396"/>
        </w:tabs>
        <w:rPr>
          <w:rFonts w:asciiTheme="minorHAnsi" w:eastAsiaTheme="minorEastAsia" w:hAnsiTheme="minorHAnsi" w:cstheme="minorBidi"/>
          <w:noProof/>
          <w:sz w:val="22"/>
          <w:szCs w:val="22"/>
          <w:lang w:val="fr-CA" w:eastAsia="fr-CA"/>
        </w:rPr>
      </w:pPr>
      <w:hyperlink w:anchor="_Toc484513466" w:history="1">
        <w:r w:rsidR="00CE7AA3" w:rsidRPr="00394BAC">
          <w:rPr>
            <w:rStyle w:val="Lienhypertexte"/>
            <w:noProof/>
          </w:rPr>
          <w:t>3.3</w:t>
        </w:r>
        <w:r w:rsidR="00CE7AA3">
          <w:rPr>
            <w:rFonts w:asciiTheme="minorHAnsi" w:eastAsiaTheme="minorEastAsia" w:hAnsiTheme="minorHAnsi" w:cstheme="minorBidi"/>
            <w:noProof/>
            <w:sz w:val="22"/>
            <w:szCs w:val="22"/>
            <w:lang w:val="fr-CA" w:eastAsia="fr-CA"/>
          </w:rPr>
          <w:tab/>
        </w:r>
        <w:r w:rsidR="00CE7AA3" w:rsidRPr="00394BAC">
          <w:rPr>
            <w:rStyle w:val="Lienhypertexte"/>
            <w:noProof/>
          </w:rPr>
          <w:t>Dynamique des perturbations naturelles</w:t>
        </w:r>
        <w:r w:rsidR="00CE7AA3">
          <w:rPr>
            <w:noProof/>
            <w:webHidden/>
          </w:rPr>
          <w:tab/>
        </w:r>
        <w:r w:rsidR="00CE7AA3">
          <w:rPr>
            <w:noProof/>
            <w:webHidden/>
          </w:rPr>
          <w:fldChar w:fldCharType="begin"/>
        </w:r>
        <w:r w:rsidR="00CE7AA3">
          <w:rPr>
            <w:noProof/>
            <w:webHidden/>
          </w:rPr>
          <w:instrText xml:space="preserve"> PAGEREF _Toc484513466 \h </w:instrText>
        </w:r>
        <w:r w:rsidR="00CE7AA3">
          <w:rPr>
            <w:noProof/>
            <w:webHidden/>
          </w:rPr>
        </w:r>
        <w:r w:rsidR="00CE7AA3">
          <w:rPr>
            <w:noProof/>
            <w:webHidden/>
          </w:rPr>
          <w:fldChar w:fldCharType="separate"/>
        </w:r>
        <w:r w:rsidR="00241D60">
          <w:rPr>
            <w:noProof/>
            <w:webHidden/>
          </w:rPr>
          <w:t>7</w:t>
        </w:r>
        <w:r w:rsidR="00CE7AA3">
          <w:rPr>
            <w:noProof/>
            <w:webHidden/>
          </w:rPr>
          <w:fldChar w:fldCharType="end"/>
        </w:r>
      </w:hyperlink>
    </w:p>
    <w:p w:rsidR="00CE7AA3" w:rsidRDefault="00FD33B5">
      <w:pPr>
        <w:pStyle w:val="TM3"/>
        <w:tabs>
          <w:tab w:val="left" w:pos="1320"/>
          <w:tab w:val="right" w:leader="dot" w:pos="9396"/>
        </w:tabs>
        <w:rPr>
          <w:rFonts w:asciiTheme="minorHAnsi" w:eastAsiaTheme="minorEastAsia" w:hAnsiTheme="minorHAnsi" w:cstheme="minorBidi"/>
          <w:noProof/>
          <w:sz w:val="22"/>
          <w:szCs w:val="22"/>
          <w:lang w:val="fr-CA" w:eastAsia="fr-CA"/>
        </w:rPr>
      </w:pPr>
      <w:hyperlink w:anchor="_Toc484513467" w:history="1">
        <w:r w:rsidR="00CE7AA3" w:rsidRPr="00394BAC">
          <w:rPr>
            <w:rStyle w:val="Lienhypertexte"/>
            <w:noProof/>
          </w:rPr>
          <w:t>3.3.1</w:t>
        </w:r>
        <w:r w:rsidR="00CE7AA3">
          <w:rPr>
            <w:rFonts w:asciiTheme="minorHAnsi" w:eastAsiaTheme="minorEastAsia" w:hAnsiTheme="minorHAnsi" w:cstheme="minorBidi"/>
            <w:noProof/>
            <w:sz w:val="22"/>
            <w:szCs w:val="22"/>
            <w:lang w:val="fr-CA" w:eastAsia="fr-CA"/>
          </w:rPr>
          <w:tab/>
        </w:r>
        <w:r w:rsidR="00CE7AA3" w:rsidRPr="00394BAC">
          <w:rPr>
            <w:rStyle w:val="Lienhypertexte"/>
            <w:noProof/>
          </w:rPr>
          <w:t>Feux</w:t>
        </w:r>
        <w:r w:rsidR="00CE7AA3">
          <w:rPr>
            <w:noProof/>
            <w:webHidden/>
          </w:rPr>
          <w:tab/>
        </w:r>
        <w:r w:rsidR="00CE7AA3">
          <w:rPr>
            <w:noProof/>
            <w:webHidden/>
          </w:rPr>
          <w:fldChar w:fldCharType="begin"/>
        </w:r>
        <w:r w:rsidR="00CE7AA3">
          <w:rPr>
            <w:noProof/>
            <w:webHidden/>
          </w:rPr>
          <w:instrText xml:space="preserve"> PAGEREF _Toc484513467 \h </w:instrText>
        </w:r>
        <w:r w:rsidR="00CE7AA3">
          <w:rPr>
            <w:noProof/>
            <w:webHidden/>
          </w:rPr>
        </w:r>
        <w:r w:rsidR="00CE7AA3">
          <w:rPr>
            <w:noProof/>
            <w:webHidden/>
          </w:rPr>
          <w:fldChar w:fldCharType="separate"/>
        </w:r>
        <w:r w:rsidR="00241D60">
          <w:rPr>
            <w:noProof/>
            <w:webHidden/>
          </w:rPr>
          <w:t>7</w:t>
        </w:r>
        <w:r w:rsidR="00CE7AA3">
          <w:rPr>
            <w:noProof/>
            <w:webHidden/>
          </w:rPr>
          <w:fldChar w:fldCharType="end"/>
        </w:r>
      </w:hyperlink>
    </w:p>
    <w:p w:rsidR="00CE7AA3" w:rsidRDefault="00FD33B5">
      <w:pPr>
        <w:pStyle w:val="TM3"/>
        <w:tabs>
          <w:tab w:val="left" w:pos="1320"/>
          <w:tab w:val="right" w:leader="dot" w:pos="9396"/>
        </w:tabs>
        <w:rPr>
          <w:rFonts w:asciiTheme="minorHAnsi" w:eastAsiaTheme="minorEastAsia" w:hAnsiTheme="minorHAnsi" w:cstheme="minorBidi"/>
          <w:noProof/>
          <w:sz w:val="22"/>
          <w:szCs w:val="22"/>
          <w:lang w:val="fr-CA" w:eastAsia="fr-CA"/>
        </w:rPr>
      </w:pPr>
      <w:hyperlink w:anchor="_Toc484513468" w:history="1">
        <w:r w:rsidR="00CE7AA3" w:rsidRPr="00394BAC">
          <w:rPr>
            <w:rStyle w:val="Lienhypertexte"/>
            <w:noProof/>
          </w:rPr>
          <w:t>3.3.2</w:t>
        </w:r>
        <w:r w:rsidR="00CE7AA3">
          <w:rPr>
            <w:rFonts w:asciiTheme="minorHAnsi" w:eastAsiaTheme="minorEastAsia" w:hAnsiTheme="minorHAnsi" w:cstheme="minorBidi"/>
            <w:noProof/>
            <w:sz w:val="22"/>
            <w:szCs w:val="22"/>
            <w:lang w:val="fr-CA" w:eastAsia="fr-CA"/>
          </w:rPr>
          <w:tab/>
        </w:r>
        <w:r w:rsidR="00CE7AA3" w:rsidRPr="00394BAC">
          <w:rPr>
            <w:rStyle w:val="Lienhypertexte"/>
            <w:noProof/>
          </w:rPr>
          <w:t>Insectes et maladies</w:t>
        </w:r>
        <w:r w:rsidR="00CE7AA3">
          <w:rPr>
            <w:noProof/>
            <w:webHidden/>
          </w:rPr>
          <w:tab/>
        </w:r>
        <w:r w:rsidR="00CE7AA3">
          <w:rPr>
            <w:noProof/>
            <w:webHidden/>
          </w:rPr>
          <w:fldChar w:fldCharType="begin"/>
        </w:r>
        <w:r w:rsidR="00CE7AA3">
          <w:rPr>
            <w:noProof/>
            <w:webHidden/>
          </w:rPr>
          <w:instrText xml:space="preserve"> PAGEREF _Toc484513468 \h </w:instrText>
        </w:r>
        <w:r w:rsidR="00CE7AA3">
          <w:rPr>
            <w:noProof/>
            <w:webHidden/>
          </w:rPr>
        </w:r>
        <w:r w:rsidR="00CE7AA3">
          <w:rPr>
            <w:noProof/>
            <w:webHidden/>
          </w:rPr>
          <w:fldChar w:fldCharType="separate"/>
        </w:r>
        <w:r w:rsidR="00241D60">
          <w:rPr>
            <w:noProof/>
            <w:webHidden/>
          </w:rPr>
          <w:t>12</w:t>
        </w:r>
        <w:r w:rsidR="00CE7AA3">
          <w:rPr>
            <w:noProof/>
            <w:webHidden/>
          </w:rPr>
          <w:fldChar w:fldCharType="end"/>
        </w:r>
      </w:hyperlink>
    </w:p>
    <w:p w:rsidR="00CE7AA3" w:rsidRDefault="00FD33B5">
      <w:pPr>
        <w:pStyle w:val="TM3"/>
        <w:tabs>
          <w:tab w:val="left" w:pos="1320"/>
          <w:tab w:val="right" w:leader="dot" w:pos="9396"/>
        </w:tabs>
        <w:rPr>
          <w:rFonts w:asciiTheme="minorHAnsi" w:eastAsiaTheme="minorEastAsia" w:hAnsiTheme="minorHAnsi" w:cstheme="minorBidi"/>
          <w:noProof/>
          <w:sz w:val="22"/>
          <w:szCs w:val="22"/>
          <w:lang w:val="fr-CA" w:eastAsia="fr-CA"/>
        </w:rPr>
      </w:pPr>
      <w:hyperlink w:anchor="_Toc484513469" w:history="1">
        <w:r w:rsidR="00CE7AA3" w:rsidRPr="00394BAC">
          <w:rPr>
            <w:rStyle w:val="Lienhypertexte"/>
            <w:noProof/>
          </w:rPr>
          <w:t>3.3.3</w:t>
        </w:r>
        <w:r w:rsidR="00CE7AA3">
          <w:rPr>
            <w:rFonts w:asciiTheme="minorHAnsi" w:eastAsiaTheme="minorEastAsia" w:hAnsiTheme="minorHAnsi" w:cstheme="minorBidi"/>
            <w:noProof/>
            <w:sz w:val="22"/>
            <w:szCs w:val="22"/>
            <w:lang w:val="fr-CA" w:eastAsia="fr-CA"/>
          </w:rPr>
          <w:tab/>
        </w:r>
        <w:r w:rsidR="00CE7AA3" w:rsidRPr="00394BAC">
          <w:rPr>
            <w:rStyle w:val="Lienhypertexte"/>
            <w:noProof/>
          </w:rPr>
          <w:t>Chablis</w:t>
        </w:r>
        <w:r w:rsidR="00CE7AA3">
          <w:rPr>
            <w:noProof/>
            <w:webHidden/>
          </w:rPr>
          <w:tab/>
        </w:r>
        <w:r w:rsidR="00CE7AA3">
          <w:rPr>
            <w:noProof/>
            <w:webHidden/>
          </w:rPr>
          <w:fldChar w:fldCharType="begin"/>
        </w:r>
        <w:r w:rsidR="00CE7AA3">
          <w:rPr>
            <w:noProof/>
            <w:webHidden/>
          </w:rPr>
          <w:instrText xml:space="preserve"> PAGEREF _Toc484513469 \h </w:instrText>
        </w:r>
        <w:r w:rsidR="00CE7AA3">
          <w:rPr>
            <w:noProof/>
            <w:webHidden/>
          </w:rPr>
        </w:r>
        <w:r w:rsidR="00CE7AA3">
          <w:rPr>
            <w:noProof/>
            <w:webHidden/>
          </w:rPr>
          <w:fldChar w:fldCharType="separate"/>
        </w:r>
        <w:r w:rsidR="00241D60">
          <w:rPr>
            <w:noProof/>
            <w:webHidden/>
          </w:rPr>
          <w:t>15</w:t>
        </w:r>
        <w:r w:rsidR="00CE7AA3">
          <w:rPr>
            <w:noProof/>
            <w:webHidden/>
          </w:rPr>
          <w:fldChar w:fldCharType="end"/>
        </w:r>
      </w:hyperlink>
    </w:p>
    <w:p w:rsidR="00CE7AA3" w:rsidRDefault="00FD33B5">
      <w:pPr>
        <w:pStyle w:val="TM3"/>
        <w:tabs>
          <w:tab w:val="left" w:pos="1320"/>
          <w:tab w:val="right" w:leader="dot" w:pos="9396"/>
        </w:tabs>
        <w:rPr>
          <w:rFonts w:asciiTheme="minorHAnsi" w:eastAsiaTheme="minorEastAsia" w:hAnsiTheme="minorHAnsi" w:cstheme="minorBidi"/>
          <w:noProof/>
          <w:sz w:val="22"/>
          <w:szCs w:val="22"/>
          <w:lang w:val="fr-CA" w:eastAsia="fr-CA"/>
        </w:rPr>
      </w:pPr>
      <w:hyperlink w:anchor="_Toc484513470" w:history="1">
        <w:r w:rsidR="00CE7AA3" w:rsidRPr="00394BAC">
          <w:rPr>
            <w:rStyle w:val="Lienhypertexte"/>
            <w:noProof/>
          </w:rPr>
          <w:t>3.3.4</w:t>
        </w:r>
        <w:r w:rsidR="00CE7AA3">
          <w:rPr>
            <w:rFonts w:asciiTheme="minorHAnsi" w:eastAsiaTheme="minorEastAsia" w:hAnsiTheme="minorHAnsi" w:cstheme="minorBidi"/>
            <w:noProof/>
            <w:sz w:val="22"/>
            <w:szCs w:val="22"/>
            <w:lang w:val="fr-CA" w:eastAsia="fr-CA"/>
          </w:rPr>
          <w:tab/>
        </w:r>
        <w:r w:rsidR="00CE7AA3" w:rsidRPr="00394BAC">
          <w:rPr>
            <w:rStyle w:val="Lienhypertexte"/>
            <w:noProof/>
          </w:rPr>
          <w:t>Trouées</w:t>
        </w:r>
        <w:r w:rsidR="00CE7AA3">
          <w:rPr>
            <w:noProof/>
            <w:webHidden/>
          </w:rPr>
          <w:tab/>
        </w:r>
        <w:r w:rsidR="00CE7AA3">
          <w:rPr>
            <w:noProof/>
            <w:webHidden/>
          </w:rPr>
          <w:fldChar w:fldCharType="begin"/>
        </w:r>
        <w:r w:rsidR="00CE7AA3">
          <w:rPr>
            <w:noProof/>
            <w:webHidden/>
          </w:rPr>
          <w:instrText xml:space="preserve"> PAGEREF _Toc484513470 \h </w:instrText>
        </w:r>
        <w:r w:rsidR="00CE7AA3">
          <w:rPr>
            <w:noProof/>
            <w:webHidden/>
          </w:rPr>
        </w:r>
        <w:r w:rsidR="00CE7AA3">
          <w:rPr>
            <w:noProof/>
            <w:webHidden/>
          </w:rPr>
          <w:fldChar w:fldCharType="separate"/>
        </w:r>
        <w:r w:rsidR="00241D60">
          <w:rPr>
            <w:noProof/>
            <w:webHidden/>
          </w:rPr>
          <w:t>16</w:t>
        </w:r>
        <w:r w:rsidR="00CE7AA3">
          <w:rPr>
            <w:noProof/>
            <w:webHidden/>
          </w:rPr>
          <w:fldChar w:fldCharType="end"/>
        </w:r>
      </w:hyperlink>
    </w:p>
    <w:p w:rsidR="00CE7AA3" w:rsidRDefault="00FD33B5">
      <w:pPr>
        <w:pStyle w:val="TM3"/>
        <w:tabs>
          <w:tab w:val="right" w:leader="dot" w:pos="9396"/>
        </w:tabs>
        <w:rPr>
          <w:rFonts w:asciiTheme="minorHAnsi" w:eastAsiaTheme="minorEastAsia" w:hAnsiTheme="minorHAnsi" w:cstheme="minorBidi"/>
          <w:noProof/>
          <w:sz w:val="22"/>
          <w:szCs w:val="22"/>
          <w:lang w:val="fr-CA" w:eastAsia="fr-CA"/>
        </w:rPr>
      </w:pPr>
      <w:hyperlink w:anchor="_Toc484513471" w:history="1">
        <w:r w:rsidR="00CE7AA3" w:rsidRPr="00394BAC">
          <w:rPr>
            <w:rStyle w:val="Lienhypertexte"/>
            <w:noProof/>
          </w:rPr>
          <w:t>3.3.5 Dépérissement du bouleau</w:t>
        </w:r>
        <w:r w:rsidR="00CE7AA3">
          <w:rPr>
            <w:noProof/>
            <w:webHidden/>
          </w:rPr>
          <w:tab/>
        </w:r>
        <w:r w:rsidR="00CE7AA3">
          <w:rPr>
            <w:noProof/>
            <w:webHidden/>
          </w:rPr>
          <w:fldChar w:fldCharType="begin"/>
        </w:r>
        <w:r w:rsidR="00CE7AA3">
          <w:rPr>
            <w:noProof/>
            <w:webHidden/>
          </w:rPr>
          <w:instrText xml:space="preserve"> PAGEREF _Toc484513471 \h </w:instrText>
        </w:r>
        <w:r w:rsidR="00CE7AA3">
          <w:rPr>
            <w:noProof/>
            <w:webHidden/>
          </w:rPr>
        </w:r>
        <w:r w:rsidR="00CE7AA3">
          <w:rPr>
            <w:noProof/>
            <w:webHidden/>
          </w:rPr>
          <w:fldChar w:fldCharType="separate"/>
        </w:r>
        <w:r w:rsidR="00241D60">
          <w:rPr>
            <w:noProof/>
            <w:webHidden/>
          </w:rPr>
          <w:t>16</w:t>
        </w:r>
        <w:r w:rsidR="00CE7AA3">
          <w:rPr>
            <w:noProof/>
            <w:webHidden/>
          </w:rPr>
          <w:fldChar w:fldCharType="end"/>
        </w:r>
      </w:hyperlink>
    </w:p>
    <w:p w:rsidR="00CE7AA3" w:rsidRDefault="00FD33B5">
      <w:pPr>
        <w:pStyle w:val="TM2"/>
        <w:tabs>
          <w:tab w:val="left" w:pos="880"/>
          <w:tab w:val="right" w:leader="dot" w:pos="9396"/>
        </w:tabs>
        <w:rPr>
          <w:rFonts w:asciiTheme="minorHAnsi" w:eastAsiaTheme="minorEastAsia" w:hAnsiTheme="minorHAnsi" w:cstheme="minorBidi"/>
          <w:noProof/>
          <w:sz w:val="22"/>
          <w:szCs w:val="22"/>
          <w:lang w:val="fr-CA" w:eastAsia="fr-CA"/>
        </w:rPr>
      </w:pPr>
      <w:hyperlink w:anchor="_Toc484513472" w:history="1">
        <w:r w:rsidR="00CE7AA3" w:rsidRPr="00394BAC">
          <w:rPr>
            <w:rStyle w:val="Lienhypertexte"/>
            <w:noProof/>
          </w:rPr>
          <w:t>3.4</w:t>
        </w:r>
        <w:r w:rsidR="00CE7AA3">
          <w:rPr>
            <w:rFonts w:asciiTheme="minorHAnsi" w:eastAsiaTheme="minorEastAsia" w:hAnsiTheme="minorHAnsi" w:cstheme="minorBidi"/>
            <w:noProof/>
            <w:sz w:val="22"/>
            <w:szCs w:val="22"/>
            <w:lang w:val="fr-CA" w:eastAsia="fr-CA"/>
          </w:rPr>
          <w:tab/>
        </w:r>
        <w:r w:rsidR="00CE7AA3" w:rsidRPr="00394BAC">
          <w:rPr>
            <w:rStyle w:val="Lienhypertexte"/>
            <w:noProof/>
          </w:rPr>
          <w:t>Portrait synthèse</w:t>
        </w:r>
        <w:r w:rsidR="00CE7AA3">
          <w:rPr>
            <w:noProof/>
            <w:webHidden/>
          </w:rPr>
          <w:tab/>
        </w:r>
        <w:r w:rsidR="00CE7AA3">
          <w:rPr>
            <w:noProof/>
            <w:webHidden/>
          </w:rPr>
          <w:fldChar w:fldCharType="begin"/>
        </w:r>
        <w:r w:rsidR="00CE7AA3">
          <w:rPr>
            <w:noProof/>
            <w:webHidden/>
          </w:rPr>
          <w:instrText xml:space="preserve"> PAGEREF _Toc484513472 \h </w:instrText>
        </w:r>
        <w:r w:rsidR="00CE7AA3">
          <w:rPr>
            <w:noProof/>
            <w:webHidden/>
          </w:rPr>
        </w:r>
        <w:r w:rsidR="00CE7AA3">
          <w:rPr>
            <w:noProof/>
            <w:webHidden/>
          </w:rPr>
          <w:fldChar w:fldCharType="separate"/>
        </w:r>
        <w:r w:rsidR="00241D60">
          <w:rPr>
            <w:noProof/>
            <w:webHidden/>
          </w:rPr>
          <w:t>17</w:t>
        </w:r>
        <w:r w:rsidR="00CE7AA3">
          <w:rPr>
            <w:noProof/>
            <w:webHidden/>
          </w:rPr>
          <w:fldChar w:fldCharType="end"/>
        </w:r>
      </w:hyperlink>
    </w:p>
    <w:p w:rsidR="00CE7AA3" w:rsidRDefault="00FD33B5">
      <w:pPr>
        <w:pStyle w:val="TM1"/>
        <w:rPr>
          <w:rFonts w:asciiTheme="minorHAnsi" w:eastAsiaTheme="minorEastAsia" w:hAnsiTheme="minorHAnsi" w:cstheme="minorBidi"/>
          <w:b w:val="0"/>
          <w:sz w:val="22"/>
          <w:szCs w:val="22"/>
          <w:lang w:val="fr-CA" w:eastAsia="fr-CA"/>
        </w:rPr>
      </w:pPr>
      <w:hyperlink w:anchor="_Toc484513473" w:history="1">
        <w:r w:rsidR="00CE7AA3" w:rsidRPr="00394BAC">
          <w:rPr>
            <w:rStyle w:val="Lienhypertexte"/>
          </w:rPr>
          <w:t>4.0 Diversité, structure, conservation du bois mort et habitats fauniques</w:t>
        </w:r>
        <w:r w:rsidR="00CE7AA3">
          <w:rPr>
            <w:webHidden/>
          </w:rPr>
          <w:tab/>
        </w:r>
        <w:r w:rsidR="00CE7AA3">
          <w:rPr>
            <w:webHidden/>
          </w:rPr>
          <w:fldChar w:fldCharType="begin"/>
        </w:r>
        <w:r w:rsidR="00CE7AA3">
          <w:rPr>
            <w:webHidden/>
          </w:rPr>
          <w:instrText xml:space="preserve"> PAGEREF _Toc484513473 \h </w:instrText>
        </w:r>
        <w:r w:rsidR="00CE7AA3">
          <w:rPr>
            <w:webHidden/>
          </w:rPr>
        </w:r>
        <w:r w:rsidR="00CE7AA3">
          <w:rPr>
            <w:webHidden/>
          </w:rPr>
          <w:fldChar w:fldCharType="separate"/>
        </w:r>
        <w:r w:rsidR="00241D60">
          <w:rPr>
            <w:webHidden/>
          </w:rPr>
          <w:t>19</w:t>
        </w:r>
        <w:r w:rsidR="00CE7AA3">
          <w:rPr>
            <w:webHidden/>
          </w:rPr>
          <w:fldChar w:fldCharType="end"/>
        </w:r>
      </w:hyperlink>
    </w:p>
    <w:p w:rsidR="00CE7AA3" w:rsidRDefault="00FD33B5">
      <w:pPr>
        <w:pStyle w:val="TM2"/>
        <w:tabs>
          <w:tab w:val="right" w:leader="dot" w:pos="9396"/>
        </w:tabs>
        <w:rPr>
          <w:rFonts w:asciiTheme="minorHAnsi" w:eastAsiaTheme="minorEastAsia" w:hAnsiTheme="minorHAnsi" w:cstheme="minorBidi"/>
          <w:noProof/>
          <w:sz w:val="22"/>
          <w:szCs w:val="22"/>
          <w:lang w:val="fr-CA" w:eastAsia="fr-CA"/>
        </w:rPr>
      </w:pPr>
      <w:hyperlink w:anchor="_Toc484513474" w:history="1">
        <w:r w:rsidR="00CE7AA3" w:rsidRPr="00394BAC">
          <w:rPr>
            <w:rStyle w:val="Lienhypertexte"/>
            <w:noProof/>
            <w:lang w:val="fr-CA"/>
          </w:rPr>
          <w:t>4.1 Diversité structurale</w:t>
        </w:r>
        <w:r w:rsidR="00CE7AA3">
          <w:rPr>
            <w:noProof/>
            <w:webHidden/>
          </w:rPr>
          <w:tab/>
        </w:r>
        <w:r w:rsidR="00CE7AA3">
          <w:rPr>
            <w:noProof/>
            <w:webHidden/>
          </w:rPr>
          <w:fldChar w:fldCharType="begin"/>
        </w:r>
        <w:r w:rsidR="00CE7AA3">
          <w:rPr>
            <w:noProof/>
            <w:webHidden/>
          </w:rPr>
          <w:instrText xml:space="preserve"> PAGEREF _Toc484513474 \h </w:instrText>
        </w:r>
        <w:r w:rsidR="00CE7AA3">
          <w:rPr>
            <w:noProof/>
            <w:webHidden/>
          </w:rPr>
        </w:r>
        <w:r w:rsidR="00CE7AA3">
          <w:rPr>
            <w:noProof/>
            <w:webHidden/>
          </w:rPr>
          <w:fldChar w:fldCharType="separate"/>
        </w:r>
        <w:r w:rsidR="00241D60">
          <w:rPr>
            <w:noProof/>
            <w:webHidden/>
          </w:rPr>
          <w:t>19</w:t>
        </w:r>
        <w:r w:rsidR="00CE7AA3">
          <w:rPr>
            <w:noProof/>
            <w:webHidden/>
          </w:rPr>
          <w:fldChar w:fldCharType="end"/>
        </w:r>
      </w:hyperlink>
    </w:p>
    <w:p w:rsidR="00CE7AA3" w:rsidRDefault="00FD33B5">
      <w:pPr>
        <w:pStyle w:val="TM2"/>
        <w:tabs>
          <w:tab w:val="right" w:leader="dot" w:pos="9396"/>
        </w:tabs>
        <w:rPr>
          <w:rFonts w:asciiTheme="minorHAnsi" w:eastAsiaTheme="minorEastAsia" w:hAnsiTheme="minorHAnsi" w:cstheme="minorBidi"/>
          <w:noProof/>
          <w:sz w:val="22"/>
          <w:szCs w:val="22"/>
          <w:lang w:val="fr-CA" w:eastAsia="fr-CA"/>
        </w:rPr>
      </w:pPr>
      <w:hyperlink w:anchor="_Toc484513475" w:history="1">
        <w:r w:rsidR="00CE7AA3" w:rsidRPr="00394BAC">
          <w:rPr>
            <w:rStyle w:val="Lienhypertexte"/>
            <w:noProof/>
          </w:rPr>
          <w:t>4.2 Bois mort et arbre faunique</w:t>
        </w:r>
        <w:r w:rsidR="00CE7AA3">
          <w:rPr>
            <w:noProof/>
            <w:webHidden/>
          </w:rPr>
          <w:tab/>
        </w:r>
        <w:r w:rsidR="00CE7AA3">
          <w:rPr>
            <w:noProof/>
            <w:webHidden/>
          </w:rPr>
          <w:fldChar w:fldCharType="begin"/>
        </w:r>
        <w:r w:rsidR="00CE7AA3">
          <w:rPr>
            <w:noProof/>
            <w:webHidden/>
          </w:rPr>
          <w:instrText xml:space="preserve"> PAGEREF _Toc484513475 \h </w:instrText>
        </w:r>
        <w:r w:rsidR="00CE7AA3">
          <w:rPr>
            <w:noProof/>
            <w:webHidden/>
          </w:rPr>
        </w:r>
        <w:r w:rsidR="00CE7AA3">
          <w:rPr>
            <w:noProof/>
            <w:webHidden/>
          </w:rPr>
          <w:fldChar w:fldCharType="separate"/>
        </w:r>
        <w:r w:rsidR="00241D60">
          <w:rPr>
            <w:noProof/>
            <w:webHidden/>
          </w:rPr>
          <w:t>20</w:t>
        </w:r>
        <w:r w:rsidR="00CE7AA3">
          <w:rPr>
            <w:noProof/>
            <w:webHidden/>
          </w:rPr>
          <w:fldChar w:fldCharType="end"/>
        </w:r>
      </w:hyperlink>
    </w:p>
    <w:p w:rsidR="00CE7AA3" w:rsidRDefault="00FD33B5">
      <w:pPr>
        <w:pStyle w:val="TM3"/>
        <w:tabs>
          <w:tab w:val="right" w:leader="dot" w:pos="9396"/>
        </w:tabs>
        <w:rPr>
          <w:rFonts w:asciiTheme="minorHAnsi" w:eastAsiaTheme="minorEastAsia" w:hAnsiTheme="minorHAnsi" w:cstheme="minorBidi"/>
          <w:noProof/>
          <w:sz w:val="22"/>
          <w:szCs w:val="22"/>
          <w:lang w:val="fr-CA" w:eastAsia="fr-CA"/>
        </w:rPr>
      </w:pPr>
      <w:hyperlink w:anchor="_Toc484513476" w:history="1">
        <w:r w:rsidR="00CE7AA3" w:rsidRPr="00394BAC">
          <w:rPr>
            <w:rStyle w:val="Lienhypertexte"/>
            <w:noProof/>
          </w:rPr>
          <w:t>Chicots, arbres moribonds et débris ligneux</w:t>
        </w:r>
        <w:r w:rsidR="00CE7AA3">
          <w:rPr>
            <w:noProof/>
            <w:webHidden/>
          </w:rPr>
          <w:tab/>
        </w:r>
        <w:r w:rsidR="00CE7AA3">
          <w:rPr>
            <w:noProof/>
            <w:webHidden/>
          </w:rPr>
          <w:fldChar w:fldCharType="begin"/>
        </w:r>
        <w:r w:rsidR="00CE7AA3">
          <w:rPr>
            <w:noProof/>
            <w:webHidden/>
          </w:rPr>
          <w:instrText xml:space="preserve"> PAGEREF _Toc484513476 \h </w:instrText>
        </w:r>
        <w:r w:rsidR="00CE7AA3">
          <w:rPr>
            <w:noProof/>
            <w:webHidden/>
          </w:rPr>
        </w:r>
        <w:r w:rsidR="00CE7AA3">
          <w:rPr>
            <w:noProof/>
            <w:webHidden/>
          </w:rPr>
          <w:fldChar w:fldCharType="separate"/>
        </w:r>
        <w:r w:rsidR="00241D60">
          <w:rPr>
            <w:noProof/>
            <w:webHidden/>
          </w:rPr>
          <w:t>21</w:t>
        </w:r>
        <w:r w:rsidR="00CE7AA3">
          <w:rPr>
            <w:noProof/>
            <w:webHidden/>
          </w:rPr>
          <w:fldChar w:fldCharType="end"/>
        </w:r>
      </w:hyperlink>
    </w:p>
    <w:p w:rsidR="00CE7AA3" w:rsidRDefault="00FD33B5">
      <w:pPr>
        <w:pStyle w:val="TM2"/>
        <w:tabs>
          <w:tab w:val="right" w:leader="dot" w:pos="9396"/>
        </w:tabs>
        <w:rPr>
          <w:rFonts w:asciiTheme="minorHAnsi" w:eastAsiaTheme="minorEastAsia" w:hAnsiTheme="minorHAnsi" w:cstheme="minorBidi"/>
          <w:noProof/>
          <w:sz w:val="22"/>
          <w:szCs w:val="22"/>
          <w:lang w:val="fr-CA" w:eastAsia="fr-CA"/>
        </w:rPr>
      </w:pPr>
      <w:hyperlink w:anchor="_Toc484513477" w:history="1">
        <w:r w:rsidR="00CE7AA3" w:rsidRPr="00394BAC">
          <w:rPr>
            <w:rStyle w:val="Lienhypertexte"/>
            <w:noProof/>
            <w:lang w:val="fr-CA"/>
          </w:rPr>
          <w:t>4.3 Diversité en essence de la forêt résiduelle</w:t>
        </w:r>
        <w:r w:rsidR="00CE7AA3">
          <w:rPr>
            <w:noProof/>
            <w:webHidden/>
          </w:rPr>
          <w:tab/>
        </w:r>
        <w:r w:rsidR="00CE7AA3">
          <w:rPr>
            <w:noProof/>
            <w:webHidden/>
          </w:rPr>
          <w:fldChar w:fldCharType="begin"/>
        </w:r>
        <w:r w:rsidR="00CE7AA3">
          <w:rPr>
            <w:noProof/>
            <w:webHidden/>
          </w:rPr>
          <w:instrText xml:space="preserve"> PAGEREF _Toc484513477 \h </w:instrText>
        </w:r>
        <w:r w:rsidR="00CE7AA3">
          <w:rPr>
            <w:noProof/>
            <w:webHidden/>
          </w:rPr>
        </w:r>
        <w:r w:rsidR="00CE7AA3">
          <w:rPr>
            <w:noProof/>
            <w:webHidden/>
          </w:rPr>
          <w:fldChar w:fldCharType="separate"/>
        </w:r>
        <w:r w:rsidR="00241D60">
          <w:rPr>
            <w:noProof/>
            <w:webHidden/>
          </w:rPr>
          <w:t>23</w:t>
        </w:r>
        <w:r w:rsidR="00CE7AA3">
          <w:rPr>
            <w:noProof/>
            <w:webHidden/>
          </w:rPr>
          <w:fldChar w:fldCharType="end"/>
        </w:r>
      </w:hyperlink>
    </w:p>
    <w:p w:rsidR="00CE7AA3" w:rsidRDefault="00FD33B5">
      <w:pPr>
        <w:pStyle w:val="TM1"/>
        <w:rPr>
          <w:rFonts w:asciiTheme="minorHAnsi" w:eastAsiaTheme="minorEastAsia" w:hAnsiTheme="minorHAnsi" w:cstheme="minorBidi"/>
          <w:b w:val="0"/>
          <w:sz w:val="22"/>
          <w:szCs w:val="22"/>
          <w:lang w:val="fr-CA" w:eastAsia="fr-CA"/>
        </w:rPr>
      </w:pPr>
      <w:hyperlink w:anchor="_Toc484513478" w:history="1">
        <w:r w:rsidR="00CE7AA3" w:rsidRPr="00394BAC">
          <w:rPr>
            <w:rStyle w:val="Lienhypertexte"/>
            <w:lang w:val="fr-CA"/>
          </w:rPr>
          <w:t>5</w:t>
        </w:r>
        <w:r w:rsidR="00CE7AA3" w:rsidRPr="00394BAC">
          <w:rPr>
            <w:rStyle w:val="Lienhypertexte"/>
          </w:rPr>
          <w:t>.0 Références</w:t>
        </w:r>
        <w:r w:rsidR="00CE7AA3">
          <w:rPr>
            <w:webHidden/>
          </w:rPr>
          <w:tab/>
        </w:r>
        <w:r w:rsidR="00CE7AA3">
          <w:rPr>
            <w:webHidden/>
          </w:rPr>
          <w:fldChar w:fldCharType="begin"/>
        </w:r>
        <w:r w:rsidR="00CE7AA3">
          <w:rPr>
            <w:webHidden/>
          </w:rPr>
          <w:instrText xml:space="preserve"> PAGEREF _Toc484513478 \h </w:instrText>
        </w:r>
        <w:r w:rsidR="00CE7AA3">
          <w:rPr>
            <w:webHidden/>
          </w:rPr>
        </w:r>
        <w:r w:rsidR="00CE7AA3">
          <w:rPr>
            <w:webHidden/>
          </w:rPr>
          <w:fldChar w:fldCharType="separate"/>
        </w:r>
        <w:r w:rsidR="00241D60">
          <w:rPr>
            <w:webHidden/>
          </w:rPr>
          <w:t>25</w:t>
        </w:r>
        <w:r w:rsidR="00CE7AA3">
          <w:rPr>
            <w:webHidden/>
          </w:rPr>
          <w:fldChar w:fldCharType="end"/>
        </w:r>
      </w:hyperlink>
    </w:p>
    <w:p w:rsidR="005219DA" w:rsidRPr="004A2468" w:rsidRDefault="0031375E" w:rsidP="005219DA">
      <w:r w:rsidRPr="004A2468">
        <w:fldChar w:fldCharType="end"/>
      </w:r>
    </w:p>
    <w:p w:rsidR="005219DA" w:rsidRPr="00B56008" w:rsidRDefault="005219DA" w:rsidP="005219DA">
      <w:pPr>
        <w:rPr>
          <w:b/>
          <w:sz w:val="32"/>
          <w:szCs w:val="32"/>
        </w:rPr>
      </w:pPr>
      <w:r w:rsidRPr="004A2468">
        <w:rPr>
          <w:b/>
          <w:sz w:val="40"/>
          <w:szCs w:val="40"/>
        </w:rPr>
        <w:br w:type="page"/>
      </w:r>
      <w:r w:rsidRPr="00B56008">
        <w:rPr>
          <w:b/>
          <w:sz w:val="32"/>
          <w:szCs w:val="32"/>
        </w:rPr>
        <w:lastRenderedPageBreak/>
        <w:t>Liste des figures</w:t>
      </w:r>
    </w:p>
    <w:p w:rsidR="00B56008" w:rsidRPr="00B56008" w:rsidRDefault="00B56008" w:rsidP="005219DA">
      <w:pPr>
        <w:rPr>
          <w:b/>
        </w:rPr>
      </w:pPr>
    </w:p>
    <w:p w:rsidR="00CE7AA3" w:rsidRDefault="0031375E">
      <w:pPr>
        <w:pStyle w:val="Tabledesillustrations"/>
        <w:tabs>
          <w:tab w:val="right" w:leader="dot" w:pos="9396"/>
        </w:tabs>
        <w:rPr>
          <w:rFonts w:asciiTheme="minorHAnsi" w:eastAsiaTheme="minorEastAsia" w:hAnsiTheme="minorHAnsi" w:cstheme="minorBidi"/>
          <w:noProof/>
          <w:sz w:val="22"/>
          <w:szCs w:val="22"/>
          <w:lang w:val="fr-CA" w:eastAsia="fr-CA"/>
        </w:rPr>
      </w:pPr>
      <w:r w:rsidRPr="004A2468">
        <w:fldChar w:fldCharType="begin"/>
      </w:r>
      <w:r w:rsidR="005219DA" w:rsidRPr="004A2468">
        <w:instrText xml:space="preserve"> TOC \h \z \c "Figure" </w:instrText>
      </w:r>
      <w:r w:rsidRPr="004A2468">
        <w:fldChar w:fldCharType="separate"/>
      </w:r>
      <w:hyperlink w:anchor="_Toc484513479" w:history="1">
        <w:r w:rsidR="00CE7AA3" w:rsidRPr="00817400">
          <w:rPr>
            <w:rStyle w:val="Lienhypertexte"/>
            <w:noProof/>
          </w:rPr>
          <w:t>Figure 1. Localisation UA 062-51 et 062-52 en fonction des sous-domaines bioclimatique</w:t>
        </w:r>
        <w:r w:rsidR="00CE7AA3">
          <w:rPr>
            <w:noProof/>
            <w:webHidden/>
          </w:rPr>
          <w:tab/>
        </w:r>
        <w:r w:rsidR="00CE7AA3">
          <w:rPr>
            <w:noProof/>
            <w:webHidden/>
          </w:rPr>
          <w:fldChar w:fldCharType="begin"/>
        </w:r>
        <w:r w:rsidR="00CE7AA3">
          <w:rPr>
            <w:noProof/>
            <w:webHidden/>
          </w:rPr>
          <w:instrText xml:space="preserve"> PAGEREF _Toc484513479 \h </w:instrText>
        </w:r>
        <w:r w:rsidR="00CE7AA3">
          <w:rPr>
            <w:noProof/>
            <w:webHidden/>
          </w:rPr>
        </w:r>
        <w:r w:rsidR="00CE7AA3">
          <w:rPr>
            <w:noProof/>
            <w:webHidden/>
          </w:rPr>
          <w:fldChar w:fldCharType="separate"/>
        </w:r>
        <w:r w:rsidR="00241D60">
          <w:rPr>
            <w:noProof/>
            <w:webHidden/>
          </w:rPr>
          <w:t>6</w:t>
        </w:r>
        <w:r w:rsidR="00CE7AA3">
          <w:rPr>
            <w:noProof/>
            <w:webHidden/>
          </w:rPr>
          <w:fldChar w:fldCharType="end"/>
        </w:r>
      </w:hyperlink>
    </w:p>
    <w:p w:rsidR="00CE7AA3" w:rsidRDefault="00FD33B5">
      <w:pPr>
        <w:pStyle w:val="Tabledesillustrations"/>
        <w:tabs>
          <w:tab w:val="right" w:leader="dot" w:pos="9396"/>
        </w:tabs>
        <w:rPr>
          <w:rFonts w:asciiTheme="minorHAnsi" w:eastAsiaTheme="minorEastAsia" w:hAnsiTheme="minorHAnsi" w:cstheme="minorBidi"/>
          <w:noProof/>
          <w:sz w:val="22"/>
          <w:szCs w:val="22"/>
          <w:lang w:val="fr-CA" w:eastAsia="fr-CA"/>
        </w:rPr>
      </w:pPr>
      <w:hyperlink w:anchor="_Toc484513480" w:history="1">
        <w:r w:rsidR="00CE7AA3" w:rsidRPr="00817400">
          <w:rPr>
            <w:rStyle w:val="Lienhypertexte"/>
            <w:noProof/>
          </w:rPr>
          <w:t>Figure 2. Groupements d'essences les moins et les plus susceptibles de demeurer vivant sur pied suite au passage d'un feu (traduit de OMNR, 2001)</w:t>
        </w:r>
        <w:r w:rsidR="00CE7AA3">
          <w:rPr>
            <w:noProof/>
            <w:webHidden/>
          </w:rPr>
          <w:tab/>
        </w:r>
        <w:r w:rsidR="00CE7AA3">
          <w:rPr>
            <w:noProof/>
            <w:webHidden/>
          </w:rPr>
          <w:fldChar w:fldCharType="begin"/>
        </w:r>
        <w:r w:rsidR="00CE7AA3">
          <w:rPr>
            <w:noProof/>
            <w:webHidden/>
          </w:rPr>
          <w:instrText xml:space="preserve"> PAGEREF _Toc484513480 \h </w:instrText>
        </w:r>
        <w:r w:rsidR="00CE7AA3">
          <w:rPr>
            <w:noProof/>
            <w:webHidden/>
          </w:rPr>
        </w:r>
        <w:r w:rsidR="00CE7AA3">
          <w:rPr>
            <w:noProof/>
            <w:webHidden/>
          </w:rPr>
          <w:fldChar w:fldCharType="separate"/>
        </w:r>
        <w:r w:rsidR="00241D60">
          <w:rPr>
            <w:noProof/>
            <w:webHidden/>
          </w:rPr>
          <w:t>11</w:t>
        </w:r>
        <w:r w:rsidR="00CE7AA3">
          <w:rPr>
            <w:noProof/>
            <w:webHidden/>
          </w:rPr>
          <w:fldChar w:fldCharType="end"/>
        </w:r>
      </w:hyperlink>
    </w:p>
    <w:p w:rsidR="005219DA" w:rsidRPr="00B56008" w:rsidRDefault="0031375E" w:rsidP="005219DA">
      <w:pPr>
        <w:rPr>
          <w:sz w:val="40"/>
          <w:szCs w:val="40"/>
        </w:rPr>
      </w:pPr>
      <w:r w:rsidRPr="004A2468">
        <w:fldChar w:fldCharType="end"/>
      </w:r>
    </w:p>
    <w:p w:rsidR="005219DA" w:rsidRPr="00B56008" w:rsidRDefault="005219DA" w:rsidP="005219DA">
      <w:pPr>
        <w:rPr>
          <w:b/>
          <w:sz w:val="32"/>
          <w:szCs w:val="32"/>
        </w:rPr>
      </w:pPr>
      <w:r w:rsidRPr="00B56008">
        <w:rPr>
          <w:b/>
          <w:sz w:val="32"/>
          <w:szCs w:val="32"/>
        </w:rPr>
        <w:t>Liste des tableaux</w:t>
      </w:r>
    </w:p>
    <w:p w:rsidR="00B56008" w:rsidRPr="00B56008" w:rsidRDefault="00B56008" w:rsidP="005219DA">
      <w:pPr>
        <w:rPr>
          <w:b/>
        </w:rPr>
      </w:pPr>
    </w:p>
    <w:p w:rsidR="00CE7AA3" w:rsidRDefault="0031375E">
      <w:pPr>
        <w:pStyle w:val="Tabledesillustrations"/>
        <w:tabs>
          <w:tab w:val="right" w:leader="dot" w:pos="9396"/>
        </w:tabs>
        <w:rPr>
          <w:rFonts w:asciiTheme="minorHAnsi" w:eastAsiaTheme="minorEastAsia" w:hAnsiTheme="minorHAnsi" w:cstheme="minorBidi"/>
          <w:noProof/>
          <w:sz w:val="22"/>
          <w:szCs w:val="22"/>
          <w:lang w:val="fr-CA" w:eastAsia="fr-CA"/>
        </w:rPr>
      </w:pPr>
      <w:r w:rsidRPr="004A2468">
        <w:fldChar w:fldCharType="begin"/>
      </w:r>
      <w:r w:rsidR="005219DA" w:rsidRPr="004A2468">
        <w:instrText xml:space="preserve"> TOC \h \z \c "Tableau" </w:instrText>
      </w:r>
      <w:r w:rsidRPr="004A2468">
        <w:fldChar w:fldCharType="separate"/>
      </w:r>
      <w:hyperlink w:anchor="_Toc484513481" w:history="1">
        <w:r w:rsidR="00CE7AA3" w:rsidRPr="006D57BF">
          <w:rPr>
            <w:rStyle w:val="Lienhypertexte"/>
            <w:noProof/>
          </w:rPr>
          <w:t>Tableau 1. Pourcentage suggéré de superficies résiduelles (îlots, péninsules, tiges individuelles) à conserver suivant une coupe selon le type de couvert (traduit de OMNR, 2001)</w:t>
        </w:r>
        <w:r w:rsidR="00CE7AA3">
          <w:rPr>
            <w:noProof/>
            <w:webHidden/>
          </w:rPr>
          <w:tab/>
        </w:r>
        <w:r w:rsidR="00CE7AA3">
          <w:rPr>
            <w:noProof/>
            <w:webHidden/>
          </w:rPr>
          <w:fldChar w:fldCharType="begin"/>
        </w:r>
        <w:r w:rsidR="00CE7AA3">
          <w:rPr>
            <w:noProof/>
            <w:webHidden/>
          </w:rPr>
          <w:instrText xml:space="preserve"> PAGEREF _Toc484513481 \h </w:instrText>
        </w:r>
        <w:r w:rsidR="00CE7AA3">
          <w:rPr>
            <w:noProof/>
            <w:webHidden/>
          </w:rPr>
        </w:r>
        <w:r w:rsidR="00CE7AA3">
          <w:rPr>
            <w:noProof/>
            <w:webHidden/>
          </w:rPr>
          <w:fldChar w:fldCharType="separate"/>
        </w:r>
        <w:r w:rsidR="00241D60">
          <w:rPr>
            <w:noProof/>
            <w:webHidden/>
          </w:rPr>
          <w:t>9</w:t>
        </w:r>
        <w:r w:rsidR="00CE7AA3">
          <w:rPr>
            <w:noProof/>
            <w:webHidden/>
          </w:rPr>
          <w:fldChar w:fldCharType="end"/>
        </w:r>
      </w:hyperlink>
    </w:p>
    <w:p w:rsidR="00CE7AA3" w:rsidRDefault="00FD33B5">
      <w:pPr>
        <w:pStyle w:val="Tabledesillustrations"/>
        <w:tabs>
          <w:tab w:val="right" w:leader="dot" w:pos="9396"/>
        </w:tabs>
        <w:rPr>
          <w:rFonts w:asciiTheme="minorHAnsi" w:eastAsiaTheme="minorEastAsia" w:hAnsiTheme="minorHAnsi" w:cstheme="minorBidi"/>
          <w:noProof/>
          <w:sz w:val="22"/>
          <w:szCs w:val="22"/>
          <w:lang w:val="fr-CA" w:eastAsia="fr-CA"/>
        </w:rPr>
      </w:pPr>
      <w:hyperlink w:anchor="_Toc484513482" w:history="1">
        <w:r w:rsidR="00CE7AA3" w:rsidRPr="006D57BF">
          <w:rPr>
            <w:rStyle w:val="Lienhypertexte"/>
            <w:noProof/>
          </w:rPr>
          <w:t>Tableau 2. Cycle des feux selon le sous-domaine bioclimatique (adapté de CFHL 2009)</w:t>
        </w:r>
        <w:r w:rsidR="00CE7AA3">
          <w:rPr>
            <w:noProof/>
            <w:webHidden/>
          </w:rPr>
          <w:tab/>
        </w:r>
        <w:r w:rsidR="00CE7AA3">
          <w:rPr>
            <w:noProof/>
            <w:webHidden/>
          </w:rPr>
          <w:fldChar w:fldCharType="begin"/>
        </w:r>
        <w:r w:rsidR="00CE7AA3">
          <w:rPr>
            <w:noProof/>
            <w:webHidden/>
          </w:rPr>
          <w:instrText xml:space="preserve"> PAGEREF _Toc484513482 \h </w:instrText>
        </w:r>
        <w:r w:rsidR="00CE7AA3">
          <w:rPr>
            <w:noProof/>
            <w:webHidden/>
          </w:rPr>
        </w:r>
        <w:r w:rsidR="00CE7AA3">
          <w:rPr>
            <w:noProof/>
            <w:webHidden/>
          </w:rPr>
          <w:fldChar w:fldCharType="separate"/>
        </w:r>
        <w:r w:rsidR="00241D60">
          <w:rPr>
            <w:noProof/>
            <w:webHidden/>
          </w:rPr>
          <w:t>10</w:t>
        </w:r>
        <w:r w:rsidR="00CE7AA3">
          <w:rPr>
            <w:noProof/>
            <w:webHidden/>
          </w:rPr>
          <w:fldChar w:fldCharType="end"/>
        </w:r>
      </w:hyperlink>
    </w:p>
    <w:p w:rsidR="00CE7AA3" w:rsidRDefault="00FD33B5">
      <w:pPr>
        <w:pStyle w:val="Tabledesillustrations"/>
        <w:tabs>
          <w:tab w:val="right" w:leader="dot" w:pos="9396"/>
        </w:tabs>
        <w:rPr>
          <w:rFonts w:asciiTheme="minorHAnsi" w:eastAsiaTheme="minorEastAsia" w:hAnsiTheme="minorHAnsi" w:cstheme="minorBidi"/>
          <w:noProof/>
          <w:sz w:val="22"/>
          <w:szCs w:val="22"/>
          <w:lang w:val="fr-CA" w:eastAsia="fr-CA"/>
        </w:rPr>
      </w:pPr>
      <w:hyperlink w:anchor="_Toc484513483" w:history="1">
        <w:r w:rsidR="00CE7AA3" w:rsidRPr="006D57BF">
          <w:rPr>
            <w:rStyle w:val="Lienhypertexte"/>
            <w:noProof/>
          </w:rPr>
          <w:t>Tableau 3. Récurrence des épidémies de TBE (modifié de CFHL 2009)</w:t>
        </w:r>
        <w:r w:rsidR="00CE7AA3">
          <w:rPr>
            <w:noProof/>
            <w:webHidden/>
          </w:rPr>
          <w:tab/>
        </w:r>
        <w:r w:rsidR="00CE7AA3">
          <w:rPr>
            <w:noProof/>
            <w:webHidden/>
          </w:rPr>
          <w:fldChar w:fldCharType="begin"/>
        </w:r>
        <w:r w:rsidR="00CE7AA3">
          <w:rPr>
            <w:noProof/>
            <w:webHidden/>
          </w:rPr>
          <w:instrText xml:space="preserve"> PAGEREF _Toc484513483 \h </w:instrText>
        </w:r>
        <w:r w:rsidR="00CE7AA3">
          <w:rPr>
            <w:noProof/>
            <w:webHidden/>
          </w:rPr>
        </w:r>
        <w:r w:rsidR="00CE7AA3">
          <w:rPr>
            <w:noProof/>
            <w:webHidden/>
          </w:rPr>
          <w:fldChar w:fldCharType="separate"/>
        </w:r>
        <w:r w:rsidR="00241D60">
          <w:rPr>
            <w:noProof/>
            <w:webHidden/>
          </w:rPr>
          <w:t>14</w:t>
        </w:r>
        <w:r w:rsidR="00CE7AA3">
          <w:rPr>
            <w:noProof/>
            <w:webHidden/>
          </w:rPr>
          <w:fldChar w:fldCharType="end"/>
        </w:r>
      </w:hyperlink>
    </w:p>
    <w:p w:rsidR="00CE7AA3" w:rsidRDefault="00FD33B5">
      <w:pPr>
        <w:pStyle w:val="Tabledesillustrations"/>
        <w:tabs>
          <w:tab w:val="right" w:leader="dot" w:pos="9396"/>
        </w:tabs>
        <w:rPr>
          <w:rFonts w:asciiTheme="minorHAnsi" w:eastAsiaTheme="minorEastAsia" w:hAnsiTheme="minorHAnsi" w:cstheme="minorBidi"/>
          <w:noProof/>
          <w:sz w:val="22"/>
          <w:szCs w:val="22"/>
          <w:lang w:val="fr-CA" w:eastAsia="fr-CA"/>
        </w:rPr>
      </w:pPr>
      <w:hyperlink w:anchor="_Toc484513484" w:history="1">
        <w:r w:rsidR="00CE7AA3" w:rsidRPr="006D57BF">
          <w:rPr>
            <w:rStyle w:val="Lienhypertexte"/>
            <w:noProof/>
          </w:rPr>
          <w:t>Tableau 4.  Synthèse des éléments à considérer selon les perturbations naturelles</w:t>
        </w:r>
        <w:r w:rsidR="00CE7AA3">
          <w:rPr>
            <w:noProof/>
            <w:webHidden/>
          </w:rPr>
          <w:tab/>
        </w:r>
        <w:r w:rsidR="00CE7AA3">
          <w:rPr>
            <w:noProof/>
            <w:webHidden/>
          </w:rPr>
          <w:fldChar w:fldCharType="begin"/>
        </w:r>
        <w:r w:rsidR="00CE7AA3">
          <w:rPr>
            <w:noProof/>
            <w:webHidden/>
          </w:rPr>
          <w:instrText xml:space="preserve"> PAGEREF _Toc484513484 \h </w:instrText>
        </w:r>
        <w:r w:rsidR="00CE7AA3">
          <w:rPr>
            <w:noProof/>
            <w:webHidden/>
          </w:rPr>
        </w:r>
        <w:r w:rsidR="00CE7AA3">
          <w:rPr>
            <w:noProof/>
            <w:webHidden/>
          </w:rPr>
          <w:fldChar w:fldCharType="separate"/>
        </w:r>
        <w:r w:rsidR="00241D60">
          <w:rPr>
            <w:noProof/>
            <w:webHidden/>
          </w:rPr>
          <w:t>17</w:t>
        </w:r>
        <w:r w:rsidR="00CE7AA3">
          <w:rPr>
            <w:noProof/>
            <w:webHidden/>
          </w:rPr>
          <w:fldChar w:fldCharType="end"/>
        </w:r>
      </w:hyperlink>
    </w:p>
    <w:p w:rsidR="00CE7AA3" w:rsidRDefault="00FD33B5">
      <w:pPr>
        <w:pStyle w:val="Tabledesillustrations"/>
        <w:tabs>
          <w:tab w:val="right" w:leader="dot" w:pos="9396"/>
        </w:tabs>
        <w:rPr>
          <w:rFonts w:asciiTheme="minorHAnsi" w:eastAsiaTheme="minorEastAsia" w:hAnsiTheme="minorHAnsi" w:cstheme="minorBidi"/>
          <w:noProof/>
          <w:sz w:val="22"/>
          <w:szCs w:val="22"/>
          <w:lang w:val="fr-CA" w:eastAsia="fr-CA"/>
        </w:rPr>
      </w:pPr>
      <w:hyperlink w:anchor="_Toc484513485" w:history="1">
        <w:r w:rsidR="00CE7AA3" w:rsidRPr="006D57BF">
          <w:rPr>
            <w:rStyle w:val="Lienhypertexte"/>
            <w:noProof/>
          </w:rPr>
          <w:t>Tableau 5 Objectifs des différentes variantes de la CPI</w:t>
        </w:r>
        <w:r w:rsidR="00CE7AA3">
          <w:rPr>
            <w:noProof/>
            <w:webHidden/>
          </w:rPr>
          <w:tab/>
        </w:r>
        <w:r w:rsidR="00CE7AA3">
          <w:rPr>
            <w:noProof/>
            <w:webHidden/>
          </w:rPr>
          <w:fldChar w:fldCharType="begin"/>
        </w:r>
        <w:r w:rsidR="00CE7AA3">
          <w:rPr>
            <w:noProof/>
            <w:webHidden/>
          </w:rPr>
          <w:instrText xml:space="preserve"> PAGEREF _Toc484513485 \h </w:instrText>
        </w:r>
        <w:r w:rsidR="00CE7AA3">
          <w:rPr>
            <w:noProof/>
            <w:webHidden/>
          </w:rPr>
        </w:r>
        <w:r w:rsidR="00CE7AA3">
          <w:rPr>
            <w:noProof/>
            <w:webHidden/>
          </w:rPr>
          <w:fldChar w:fldCharType="separate"/>
        </w:r>
        <w:r w:rsidR="00241D60">
          <w:rPr>
            <w:noProof/>
            <w:webHidden/>
          </w:rPr>
          <w:t>19</w:t>
        </w:r>
        <w:r w:rsidR="00CE7AA3">
          <w:rPr>
            <w:noProof/>
            <w:webHidden/>
          </w:rPr>
          <w:fldChar w:fldCharType="end"/>
        </w:r>
      </w:hyperlink>
    </w:p>
    <w:p w:rsidR="005219DA" w:rsidRPr="004A2468" w:rsidRDefault="0031375E" w:rsidP="005219DA">
      <w:r w:rsidRPr="004A2468">
        <w:fldChar w:fldCharType="end"/>
      </w:r>
    </w:p>
    <w:p w:rsidR="005219DA" w:rsidRPr="004A2468" w:rsidRDefault="005219DA" w:rsidP="005219DA">
      <w:pPr>
        <w:pStyle w:val="Titre2"/>
        <w:sectPr w:rsidR="005219DA" w:rsidRPr="004A2468" w:rsidSect="000A778B">
          <w:footerReference w:type="even" r:id="rId11"/>
          <w:footerReference w:type="default" r:id="rId12"/>
          <w:pgSz w:w="12242" w:h="15842" w:code="1"/>
          <w:pgMar w:top="1418" w:right="1418" w:bottom="1418" w:left="1418" w:header="708" w:footer="708" w:gutter="0"/>
          <w:pgNumType w:fmt="lowerRoman"/>
          <w:cols w:space="708"/>
          <w:titlePg/>
          <w:docGrid w:linePitch="360"/>
        </w:sectPr>
      </w:pPr>
    </w:p>
    <w:p w:rsidR="005219DA" w:rsidRPr="002F7225" w:rsidRDefault="005219DA" w:rsidP="00CE5299">
      <w:pPr>
        <w:pStyle w:val="Titre1"/>
        <w:numPr>
          <w:ilvl w:val="0"/>
          <w:numId w:val="15"/>
        </w:numPr>
      </w:pPr>
      <w:bookmarkStart w:id="5" w:name="_Toc484513460"/>
      <w:r w:rsidRPr="002F7225">
        <w:t>Introduction</w:t>
      </w:r>
      <w:bookmarkEnd w:id="5"/>
    </w:p>
    <w:p w:rsidR="00FD5DC5" w:rsidRPr="002F7225" w:rsidRDefault="005219DA" w:rsidP="005219DA">
      <w:pPr>
        <w:jc w:val="both"/>
      </w:pPr>
      <w:r w:rsidRPr="002F7225">
        <w:t xml:space="preserve">Ce document a été produit </w:t>
      </w:r>
      <w:r w:rsidR="00F77507">
        <w:t xml:space="preserve">afin de répondre au critère 6.3.1 et 6.3.8 (a.) de la norme </w:t>
      </w:r>
      <w:r w:rsidRPr="002F7225">
        <w:t xml:space="preserve">du Forest Stewardship Council (selon la norme Grands-Lac / St-Laurent) par </w:t>
      </w:r>
      <w:r w:rsidR="00D74EED" w:rsidRPr="002F7225">
        <w:t>l</w:t>
      </w:r>
      <w:r w:rsidR="00923342">
        <w:t>e Groupe Crête</w:t>
      </w:r>
      <w:r w:rsidRPr="002F7225">
        <w:t>.</w:t>
      </w:r>
      <w:r w:rsidR="00F77507" w:rsidRPr="002F7225">
        <w:t xml:space="preserve"> </w:t>
      </w:r>
    </w:p>
    <w:p w:rsidR="005219DA" w:rsidRPr="00F35515" w:rsidRDefault="005219DA" w:rsidP="00CE5299">
      <w:pPr>
        <w:pStyle w:val="Titre1"/>
        <w:numPr>
          <w:ilvl w:val="0"/>
          <w:numId w:val="15"/>
        </w:numPr>
      </w:pPr>
      <w:bookmarkStart w:id="6" w:name="_Toc484513461"/>
      <w:r w:rsidRPr="00F35515">
        <w:t>Localisation générale</w:t>
      </w:r>
      <w:bookmarkEnd w:id="6"/>
    </w:p>
    <w:p w:rsidR="003A4078" w:rsidRPr="003A4078" w:rsidRDefault="003A4078" w:rsidP="002F7225">
      <w:pPr>
        <w:jc w:val="both"/>
        <w:rPr>
          <w:u w:val="single"/>
        </w:rPr>
      </w:pPr>
      <w:r w:rsidRPr="003A4078">
        <w:rPr>
          <w:u w:val="single"/>
        </w:rPr>
        <w:t>UA 062-51</w:t>
      </w:r>
    </w:p>
    <w:p w:rsidR="002B59FF" w:rsidRDefault="00CE5D73" w:rsidP="002F7225">
      <w:pPr>
        <w:jc w:val="both"/>
      </w:pPr>
      <w:r w:rsidRPr="002F7225">
        <w:t>L’unité d’aménagement forestier (</w:t>
      </w:r>
      <w:r w:rsidR="003A4078">
        <w:t>UA</w:t>
      </w:r>
      <w:r w:rsidRPr="002F7225">
        <w:t xml:space="preserve">) 062-51 est localisée au sud du Québec, à l’intérieur des limites de la région administrative de Montréal (unité de gestion 062), plus précisément dans la région de Lanaudière. Elle se situe sur la  rive nord du fleuve Saint-Laurent entre les latitudes 45º57’N et 46º52’N et les longitudes 73º15’O et 74º40’O. Le territoire est borné au nord et à l’est par la région administrative de la  Mauricie (04), à l’ouest par celle des Laurentides (15) et au sud par la région de Montréal (06 et 13). </w:t>
      </w:r>
    </w:p>
    <w:p w:rsidR="002B59FF" w:rsidRPr="002B59FF" w:rsidRDefault="002B59FF" w:rsidP="002F7225">
      <w:pPr>
        <w:jc w:val="both"/>
      </w:pPr>
    </w:p>
    <w:p w:rsidR="00BC3A3B" w:rsidRDefault="00CE5D73" w:rsidP="002F7225">
      <w:pPr>
        <w:jc w:val="both"/>
      </w:pPr>
      <w:r w:rsidRPr="00147A00">
        <w:t xml:space="preserve">Elle occupe une superficie totale de </w:t>
      </w:r>
      <w:smartTag w:uri="urn:schemas-microsoft-com:office:smarttags" w:element="metricconverter">
        <w:smartTagPr>
          <w:attr w:name="ProductID" w:val="ꨀ䬀ன_Toc285646123ìĮ ă̈̈ǰ裐Н봐й夠й往й岠й론й뭘йꢠМ䙰О怀й䈀О张й쏠㌘Н㍀Н屠й开й彠йꐰО肐Н旐н敠н斘н㈈Нꁈ༷Ƕ̈郐Ћ좠Ћ읠Ћomǩ̈ᙘЌᚘЌ졸Ћ桮搮汬Ǭ̈׬ЋרЋǠ̈צּ栀栀꾱栀킆栀鑠栀阸栀騢栀먤栀뾊栀沎栀焀栀璺栀繖栀羠栀苑栀栀栀힧栀镢栀鹭栀龜栀ꕯ栀좑栀ꪮ栀蔮栀栀ᄑᄑǗ̎Nom de personneonÉ̈蚸ꪸVǏ̌ጨ켊䀀䀀䀀䀀ŠP＞ἠ聱ààààààààààààààààààààààààààààààààPP°°ĐàP``p°P`PP°°°°°°°°°°pp°°°ÀİÐàààÐÀðÐP°àÀĐÐðÐðÐÐÐÐÐĐÐÐ°`P`°°`°À°À°`ÀÀPP°PĐÀÀÀÀ°`À°ð°° p@p°à°àP° İ°°`ŐÐ`İà°ààPP  p°İ`İ°`Ġà ÐPp°°°°@°`àp°°`à° ```°°P``p°ĀĀĀÀÐÐÐÐÐÐİàÐÐÐÐPPPPàÐððððð°ðÐÐÐÐÐÐÀ°°°°°°Đ°°°°°PPPPÀÀÀÀÀÀÀ ÀÀÀÀÀ°À°櫅1ࣜܡƻÜW̵ᒌƐ`` ￼ ᜀ＞‟Ũ&#10;Vq̒ⷠМ㥸芌ꨀ䬀ன_Toc286324273 \hĬĮ"/>
        </w:smartTagPr>
        <w:r w:rsidR="008C03F7" w:rsidRPr="00147A00">
          <w:t>216 641</w:t>
        </w:r>
        <w:r w:rsidRPr="00147A00">
          <w:t xml:space="preserve"> ha</w:t>
        </w:r>
      </w:smartTag>
      <w:r w:rsidRPr="00147A00">
        <w:t xml:space="preserve"> répartie dans </w:t>
      </w:r>
      <w:r w:rsidR="002B59FF" w:rsidRPr="00147A00">
        <w:t xml:space="preserve">deux </w:t>
      </w:r>
      <w:r w:rsidRPr="00147A00">
        <w:t>municipalités régionales de comté (MRC). La MRC de Ma</w:t>
      </w:r>
      <w:r w:rsidR="002B59FF" w:rsidRPr="00147A00">
        <w:t>tawinie, domine avec 90</w:t>
      </w:r>
      <w:r w:rsidRPr="00147A00">
        <w:t xml:space="preserve"> % de</w:t>
      </w:r>
      <w:r w:rsidR="008C03F7" w:rsidRPr="00147A00">
        <w:t xml:space="preserve"> la superficie totale de l’</w:t>
      </w:r>
      <w:r w:rsidR="003A4078">
        <w:t>UA</w:t>
      </w:r>
      <w:r w:rsidR="002B59FF" w:rsidRPr="00147A00">
        <w:t xml:space="preserve"> suivi de la MRC </w:t>
      </w:r>
      <w:r w:rsidRPr="00147A00">
        <w:t>D’Autray avec 1</w:t>
      </w:r>
      <w:r w:rsidR="002B59FF" w:rsidRPr="00147A00">
        <w:t>0</w:t>
      </w:r>
      <w:r w:rsidRPr="00147A00">
        <w:t xml:space="preserve"> %. </w:t>
      </w:r>
      <w:r w:rsidR="00BC3A3B" w:rsidRPr="00147A00">
        <w:t xml:space="preserve">La superficie de cet </w:t>
      </w:r>
      <w:r w:rsidR="003A4078">
        <w:t>UA</w:t>
      </w:r>
      <w:r w:rsidR="00BC3A3B" w:rsidRPr="00147A00">
        <w:t xml:space="preserve"> destinée à la production forestière est de </w:t>
      </w:r>
      <w:smartTag w:uri="urn:schemas-microsoft-com:office:smarttags" w:element="metricconverter">
        <w:smartTagPr>
          <w:attr w:name="ProductID" w:val="166ﾠ397 ha"/>
        </w:smartTagPr>
        <w:r w:rsidR="00BC3A3B" w:rsidRPr="00147A00">
          <w:t>166 397 ha</w:t>
        </w:r>
      </w:smartTag>
      <w:r w:rsidR="00341C6C" w:rsidRPr="00147A00">
        <w:t xml:space="preserve"> (Bureau du Forestier en Chef</w:t>
      </w:r>
      <w:r w:rsidR="00BC3A3B" w:rsidRPr="00147A00">
        <w:t xml:space="preserve"> 2008).</w:t>
      </w:r>
      <w:r w:rsidR="00861D65" w:rsidRPr="00147A00">
        <w:t xml:space="preserve"> L’</w:t>
      </w:r>
      <w:r w:rsidR="003A4078">
        <w:t>UA</w:t>
      </w:r>
      <w:r w:rsidR="00861D65" w:rsidRPr="00147A00">
        <w:t xml:space="preserve"> 062-51 est située dans le sous-domaine bioclimatique de l’érablière à bouleau jaune de l’est (Alvarez 2009).</w:t>
      </w:r>
    </w:p>
    <w:p w:rsidR="003A4078" w:rsidRDefault="003A4078" w:rsidP="002F7225">
      <w:pPr>
        <w:jc w:val="both"/>
      </w:pPr>
    </w:p>
    <w:p w:rsidR="003A4078" w:rsidRPr="003A4078" w:rsidRDefault="003A4078" w:rsidP="003A4078">
      <w:pPr>
        <w:jc w:val="both"/>
        <w:rPr>
          <w:u w:val="single"/>
        </w:rPr>
      </w:pPr>
      <w:r w:rsidRPr="003A4078">
        <w:rPr>
          <w:u w:val="single"/>
        </w:rPr>
        <w:t>UA 062-52</w:t>
      </w:r>
    </w:p>
    <w:p w:rsidR="003A4078" w:rsidRDefault="003A4078" w:rsidP="003A4078">
      <w:pPr>
        <w:jc w:val="both"/>
      </w:pPr>
      <w:r>
        <w:t>L’unité d’aménagement forestier l’UA 062-52 est comprise entre les latitudes 47°57’O et 46°53’11'O et entre les longitudes 77°18’N et 75°18’N. Physiquement, l’UA 062-52 fait partie de la région administrative de Lanaudière (14), mais pour ce qui est de la gestion de la forêt publique retrouvée sur son territoire, elle est rattachée à la région administrative de Montréal (région 06). Elle occupe une superficie totale de 302 118 ha, répartie dans trois municipalités régionales de comté (MRC) : la MRC de Matawinie, la MRC d’Antoine-Labelle à l’ouest et la MRC de Mékinac à l’est. De cette superficie, 240 096 ha sont destinés à la production forestière. La réserve faunique Rouge-Matawin couvre 46% du territoire de la 062-52, soit 138 723 ha. Le territoire est parsemé de plus de 685 lacs et 10 rivières d’importance, recouvrant environ 11% de la surface (31 793 ha), en plus du réservoir Taureau, dans la partie sud-est, l’une des plus grande réserve d’eau de la région de Lanaudière.</w:t>
      </w:r>
    </w:p>
    <w:p w:rsidR="00240491" w:rsidRDefault="00240491" w:rsidP="002F7225">
      <w:pPr>
        <w:jc w:val="both"/>
      </w:pPr>
    </w:p>
    <w:p w:rsidR="00181534" w:rsidRPr="00F35515" w:rsidRDefault="003A4078" w:rsidP="00D51D41">
      <w:pPr>
        <w:pStyle w:val="StyleTitre3Gras"/>
      </w:pPr>
      <w:bookmarkStart w:id="7" w:name="_Toc484513462"/>
      <w:r>
        <w:t>Localisation</w:t>
      </w:r>
      <w:bookmarkEnd w:id="7"/>
      <w:r w:rsidR="00181534" w:rsidRPr="00F35515">
        <w:t xml:space="preserve"> </w:t>
      </w:r>
    </w:p>
    <w:p w:rsidR="00181534" w:rsidRDefault="00181534" w:rsidP="00181534">
      <w:pPr>
        <w:jc w:val="both"/>
      </w:pPr>
      <w:r>
        <w:t>L</w:t>
      </w:r>
      <w:r w:rsidR="003A4078">
        <w:t>es UA 06</w:t>
      </w:r>
      <w:r w:rsidR="00431F6B">
        <w:t>2</w:t>
      </w:r>
      <w:r w:rsidR="003A4078">
        <w:t>-5</w:t>
      </w:r>
      <w:r w:rsidR="00431F6B">
        <w:t>1</w:t>
      </w:r>
      <w:r w:rsidR="003A4078">
        <w:t xml:space="preserve"> et 062-52 sont localisé</w:t>
      </w:r>
      <w:r w:rsidR="00C34D0A">
        <w:t xml:space="preserve">s </w:t>
      </w:r>
      <w:r w:rsidR="003A4078">
        <w:t xml:space="preserve">à la </w:t>
      </w:r>
      <w:r w:rsidR="00431F6B">
        <w:fldChar w:fldCharType="begin"/>
      </w:r>
      <w:r w:rsidR="00431F6B">
        <w:instrText xml:space="preserve"> REF _Ref356376494 \h </w:instrText>
      </w:r>
      <w:r w:rsidR="00431F6B">
        <w:fldChar w:fldCharType="separate"/>
      </w:r>
      <w:r w:rsidR="00241D60">
        <w:t xml:space="preserve">Figure </w:t>
      </w:r>
      <w:r w:rsidR="00241D60">
        <w:rPr>
          <w:noProof/>
        </w:rPr>
        <w:t>1</w:t>
      </w:r>
      <w:r w:rsidR="00431F6B">
        <w:fldChar w:fldCharType="end"/>
      </w:r>
      <w:r w:rsidR="003A4078">
        <w:t>. Sur cette même carte, on peut visualiser les sous-domaines bioclimatiques selon lesquels le portrait historique a été établi.</w:t>
      </w:r>
    </w:p>
    <w:p w:rsidR="00181534" w:rsidRDefault="00DB78FB" w:rsidP="00181534">
      <w:r>
        <w:rPr>
          <w:noProof/>
          <w:lang w:val="fr-CA" w:eastAsia="fr-CA"/>
        </w:rPr>
        <mc:AlternateContent>
          <mc:Choice Requires="wps">
            <w:drawing>
              <wp:anchor distT="0" distB="0" distL="114300" distR="114300" simplePos="0" relativeHeight="251663360" behindDoc="0" locked="0" layoutInCell="1" allowOverlap="1">
                <wp:simplePos x="0" y="0"/>
                <wp:positionH relativeFrom="column">
                  <wp:posOffset>2757170</wp:posOffset>
                </wp:positionH>
                <wp:positionV relativeFrom="paragraph">
                  <wp:posOffset>2279650</wp:posOffset>
                </wp:positionV>
                <wp:extent cx="1257300" cy="228600"/>
                <wp:effectExtent l="4445" t="3175" r="0" b="0"/>
                <wp:wrapNone/>
                <wp:docPr id="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507" w:rsidRDefault="00F77507" w:rsidP="003A4078">
                            <w:pPr>
                              <w:rPr>
                                <w:sz w:val="8"/>
                                <w:szCs w:val="8"/>
                              </w:rPr>
                            </w:pPr>
                            <w:r>
                              <w:rPr>
                                <w:sz w:val="20"/>
                                <w:szCs w:val="20"/>
                              </w:rPr>
                              <w:t>Érablière à bouleau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217.1pt;margin-top:179.5pt;width:99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8r3tAIAALs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" filled="f" stroked="f">
                <v:textbox>
                  <w:txbxContent>
                    <w:p w:rsidR="00F77507" w:rsidRDefault="00F77507" w:rsidP="003A4078">
                      <w:pPr>
                        <w:rPr>
                          <w:sz w:val="8"/>
                          <w:szCs w:val="8"/>
                        </w:rPr>
                      </w:pPr>
                      <w:r>
                        <w:rPr>
                          <w:sz w:val="20"/>
                          <w:szCs w:val="20"/>
                        </w:rPr>
                        <w:t>Érablière à bouleau</w:t>
                      </w:r>
                    </w:p>
                  </w:txbxContent>
                </v:textbox>
              </v:shape>
            </w:pict>
          </mc:Fallback>
        </mc:AlternateContent>
      </w:r>
      <w:r>
        <w:rPr>
          <w:noProof/>
          <w:lang w:val="fr-CA" w:eastAsia="fr-CA"/>
        </w:rPr>
        <mc:AlternateContent>
          <mc:Choice Requires="wps">
            <w:drawing>
              <wp:anchor distT="0" distB="0" distL="114300" distR="114300" simplePos="0" relativeHeight="251662336" behindDoc="0" locked="0" layoutInCell="1" allowOverlap="1">
                <wp:simplePos x="0" y="0"/>
                <wp:positionH relativeFrom="column">
                  <wp:posOffset>2795270</wp:posOffset>
                </wp:positionH>
                <wp:positionV relativeFrom="paragraph">
                  <wp:posOffset>2508250</wp:posOffset>
                </wp:positionV>
                <wp:extent cx="876300" cy="318770"/>
                <wp:effectExtent l="4445" t="3175" r="0" b="1905"/>
                <wp:wrapNone/>
                <wp:docPr id="1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318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507" w:rsidRDefault="00F77507" w:rsidP="003A4078">
                            <w:pPr>
                              <w:rPr>
                                <w:sz w:val="12"/>
                                <w:szCs w:val="12"/>
                              </w:rPr>
                            </w:pPr>
                            <w:r>
                              <w:rPr>
                                <w:sz w:val="20"/>
                                <w:szCs w:val="20"/>
                              </w:rPr>
                              <w:t xml:space="preserve">jaune de l’est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margin-left:220.1pt;margin-top:197.5pt;width:69pt;height:25.1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KxKuQIAAME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" filled="f" stroked="f">
                <v:textbox>
                  <w:txbxContent>
                    <w:p w:rsidR="00F77507" w:rsidRDefault="00F77507" w:rsidP="003A4078">
                      <w:pPr>
                        <w:rPr>
                          <w:sz w:val="12"/>
                          <w:szCs w:val="12"/>
                        </w:rPr>
                      </w:pPr>
                      <w:r>
                        <w:rPr>
                          <w:sz w:val="20"/>
                          <w:szCs w:val="20"/>
                        </w:rPr>
                        <w:t xml:space="preserve">jaune de l’est </w:t>
                      </w:r>
                    </w:p>
                  </w:txbxContent>
                </v:textbox>
              </v:shape>
            </w:pict>
          </mc:Fallback>
        </mc:AlternateContent>
      </w:r>
      <w:r>
        <w:rPr>
          <w:noProof/>
          <w:lang w:val="fr-CA" w:eastAsia="fr-CA"/>
        </w:rPr>
        <mc:AlternateContent>
          <mc:Choice Requires="wps">
            <w:drawing>
              <wp:anchor distT="0" distB="0" distL="114300" distR="114300" simplePos="0" relativeHeight="251661312" behindDoc="0" locked="0" layoutInCell="1" allowOverlap="1">
                <wp:simplePos x="0" y="0"/>
                <wp:positionH relativeFrom="column">
                  <wp:posOffset>1773555</wp:posOffset>
                </wp:positionH>
                <wp:positionV relativeFrom="paragraph">
                  <wp:posOffset>1405255</wp:posOffset>
                </wp:positionV>
                <wp:extent cx="1600200" cy="342900"/>
                <wp:effectExtent l="1905" t="0" r="0" b="4445"/>
                <wp:wrapNone/>
                <wp:docPr id="1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507" w:rsidRDefault="00F77507" w:rsidP="003A4078">
                            <w:pPr>
                              <w:rPr>
                                <w:sz w:val="20"/>
                                <w:szCs w:val="20"/>
                              </w:rPr>
                            </w:pPr>
                            <w:r>
                              <w:rPr>
                                <w:sz w:val="20"/>
                                <w:szCs w:val="20"/>
                              </w:rPr>
                              <w:t>(sous-région 4c-Typique)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28" type="#_x0000_t202" style="position:absolute;margin-left:139.65pt;margin-top:110.65pt;width:126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" filled="f" stroked="f">
                <v:textbox>
                  <w:txbxContent>
                    <w:p w:rsidR="00F77507" w:rsidRDefault="00F77507" w:rsidP="003A4078">
                      <w:pPr>
                        <w:rPr>
                          <w:sz w:val="20"/>
                          <w:szCs w:val="20"/>
                        </w:rPr>
                      </w:pPr>
                      <w:r>
                        <w:rPr>
                          <w:sz w:val="20"/>
                          <w:szCs w:val="20"/>
                        </w:rPr>
                        <w:t>(sous-région 4c-Typique)</w:t>
                      </w:r>
                    </w:p>
                  </w:txbxContent>
                </v:textbox>
              </v:shape>
            </w:pict>
          </mc:Fallback>
        </mc:AlternateContent>
      </w:r>
      <w:r>
        <w:rPr>
          <w:noProof/>
          <w:lang w:val="fr-CA" w:eastAsia="fr-CA"/>
        </w:rPr>
        <mc:AlternateContent>
          <mc:Choice Requires="wps">
            <w:drawing>
              <wp:anchor distT="0" distB="0" distL="114300" distR="114300" simplePos="0" relativeHeight="251660288" behindDoc="0" locked="0" layoutInCell="1" allowOverlap="1">
                <wp:simplePos x="0" y="0"/>
                <wp:positionH relativeFrom="column">
                  <wp:posOffset>1544955</wp:posOffset>
                </wp:positionH>
                <wp:positionV relativeFrom="paragraph">
                  <wp:posOffset>1176655</wp:posOffset>
                </wp:positionV>
                <wp:extent cx="2057400" cy="228600"/>
                <wp:effectExtent l="1905" t="0" r="0" b="4445"/>
                <wp:wrapNone/>
                <wp:docPr id="1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7507" w:rsidRDefault="00F77507" w:rsidP="003A4078">
                            <w:pPr>
                              <w:rPr>
                                <w:sz w:val="20"/>
                                <w:szCs w:val="20"/>
                              </w:rPr>
                            </w:pPr>
                            <w:r>
                              <w:rPr>
                                <w:sz w:val="20"/>
                                <w:szCs w:val="20"/>
                              </w:rPr>
                              <w:t>Sapinière à bouleau jaune de l’ouest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9" type="#_x0000_t202" style="position:absolute;margin-left:121.65pt;margin-top:92.65pt;width:162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QisuA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" filled="f" stroked="f">
                <v:textbox>
                  <w:txbxContent>
                    <w:p w:rsidR="00F77507" w:rsidRDefault="00F77507" w:rsidP="003A4078">
                      <w:pPr>
                        <w:rPr>
                          <w:sz w:val="20"/>
                          <w:szCs w:val="20"/>
                        </w:rPr>
                      </w:pPr>
                      <w:r>
                        <w:rPr>
                          <w:sz w:val="20"/>
                          <w:szCs w:val="20"/>
                        </w:rPr>
                        <w:t>Sapinière à bouleau jaune de l’ouest</w:t>
                      </w:r>
                    </w:p>
                  </w:txbxContent>
                </v:textbox>
              </v:shape>
            </w:pict>
          </mc:Fallback>
        </mc:AlternateContent>
      </w:r>
      <w:r>
        <w:rPr>
          <w:rFonts w:ascii="Arial" w:hAnsi="Arial" w:cs="Arial"/>
          <w:noProof/>
          <w:lang w:val="fr-CA" w:eastAsia="fr-CA"/>
        </w:rPr>
        <w:drawing>
          <wp:inline distT="0" distB="0" distL="0" distR="0">
            <wp:extent cx="4061460" cy="5364480"/>
            <wp:effectExtent l="0" t="0" r="0" b="762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l="3989" t="3082" r="4613" b="3542"/>
                    <a:stretch>
                      <a:fillRect/>
                    </a:stretch>
                  </pic:blipFill>
                  <pic:spPr bwMode="auto">
                    <a:xfrm>
                      <a:off x="0" y="0"/>
                      <a:ext cx="4061460" cy="5364480"/>
                    </a:xfrm>
                    <a:prstGeom prst="rect">
                      <a:avLst/>
                    </a:prstGeom>
                    <a:noFill/>
                    <a:ln>
                      <a:noFill/>
                    </a:ln>
                  </pic:spPr>
                </pic:pic>
              </a:graphicData>
            </a:graphic>
          </wp:inline>
        </w:drawing>
      </w:r>
    </w:p>
    <w:p w:rsidR="00181534" w:rsidRDefault="00181534" w:rsidP="00181534">
      <w:pPr>
        <w:pStyle w:val="Lgende"/>
      </w:pPr>
      <w:bookmarkStart w:id="8" w:name="_Ref356376494"/>
      <w:bookmarkStart w:id="9" w:name="_Toc484513479"/>
      <w:r>
        <w:t xml:space="preserve">Figure </w:t>
      </w:r>
      <w:r w:rsidR="00FD33B5">
        <w:fldChar w:fldCharType="begin"/>
      </w:r>
      <w:r w:rsidR="00FD33B5">
        <w:instrText xml:space="preserve"> SEQ Figure \* ARABIC </w:instrText>
      </w:r>
      <w:r w:rsidR="00FD33B5">
        <w:fldChar w:fldCharType="separate"/>
      </w:r>
      <w:r w:rsidR="00241D60">
        <w:rPr>
          <w:noProof/>
        </w:rPr>
        <w:t>1</w:t>
      </w:r>
      <w:r w:rsidR="00FD33B5">
        <w:rPr>
          <w:noProof/>
        </w:rPr>
        <w:fldChar w:fldCharType="end"/>
      </w:r>
      <w:bookmarkEnd w:id="8"/>
      <w:r>
        <w:t xml:space="preserve">. </w:t>
      </w:r>
      <w:r w:rsidR="003A4078">
        <w:t>Localisation UA 062-51 et 062-52 en fonction des sous-domaines bioclimatique</w:t>
      </w:r>
      <w:bookmarkEnd w:id="9"/>
    </w:p>
    <w:p w:rsidR="00181534" w:rsidRPr="00D325FA" w:rsidRDefault="00181534" w:rsidP="00181534"/>
    <w:p w:rsidR="00CE5299" w:rsidRPr="00CE5299" w:rsidRDefault="00CE5299" w:rsidP="00CE5299">
      <w:pPr>
        <w:pStyle w:val="Titre1"/>
        <w:numPr>
          <w:ilvl w:val="0"/>
          <w:numId w:val="15"/>
        </w:numPr>
      </w:pPr>
      <w:bookmarkStart w:id="10" w:name="_Toc484513463"/>
      <w:r w:rsidRPr="00CE5299">
        <w:t>Portrait historique</w:t>
      </w:r>
      <w:bookmarkEnd w:id="10"/>
    </w:p>
    <w:p w:rsidR="00CE5299" w:rsidRPr="00CE5299" w:rsidRDefault="00CE5299" w:rsidP="00CE5299">
      <w:pPr>
        <w:pStyle w:val="Titre2"/>
        <w:numPr>
          <w:ilvl w:val="1"/>
          <w:numId w:val="15"/>
        </w:numPr>
        <w:jc w:val="both"/>
      </w:pPr>
      <w:bookmarkStart w:id="11" w:name="_Toc484513464"/>
      <w:r>
        <w:t>Précision</w:t>
      </w:r>
      <w:bookmarkEnd w:id="11"/>
    </w:p>
    <w:p w:rsidR="00CE5299" w:rsidRDefault="00CE5299" w:rsidP="00CE5299">
      <w:pPr>
        <w:jc w:val="both"/>
      </w:pPr>
      <w:r>
        <w:t>Pour cette étude, les constats décrits pour le domaine bioclimatique de l’érablière à bouleau jaune sont associés à l’UA 062-51 tandis que les constats établis pour la sapinière à bouleau jaune s’apparentent à l’UA 062-52.  La majorité (062-51) ou même la totalité des superficies (062-52) des UA étant circonscrit</w:t>
      </w:r>
      <w:r w:rsidR="00C34D0A">
        <w:t xml:space="preserve">es </w:t>
      </w:r>
      <w:r>
        <w:t xml:space="preserve">à l’intérieur de ces domaines bioclimatiques respectifs. </w:t>
      </w:r>
    </w:p>
    <w:p w:rsidR="00CE5299" w:rsidRPr="00CE5299" w:rsidRDefault="00CE5299" w:rsidP="00CE5299">
      <w:pPr>
        <w:pStyle w:val="Titre2"/>
        <w:numPr>
          <w:ilvl w:val="1"/>
          <w:numId w:val="15"/>
        </w:numPr>
        <w:jc w:val="both"/>
      </w:pPr>
      <w:bookmarkStart w:id="12" w:name="_Toc303235064"/>
      <w:bookmarkStart w:id="13" w:name="_Toc422129799"/>
      <w:bookmarkStart w:id="14" w:name="_Toc484513465"/>
      <w:r w:rsidRPr="00361DA2">
        <w:t>Sources utilisées</w:t>
      </w:r>
      <w:bookmarkEnd w:id="12"/>
      <w:bookmarkEnd w:id="13"/>
      <w:bookmarkEnd w:id="14"/>
    </w:p>
    <w:p w:rsidR="00CE5299" w:rsidRDefault="00CE5299" w:rsidP="00CE5299">
      <w:pPr>
        <w:spacing w:before="120" w:after="120"/>
        <w:jc w:val="both"/>
      </w:pPr>
      <w:r>
        <w:t xml:space="preserve">Trois documents ont été utilisés afin de documenter le régime de perturbations naturelles et les structures résiduelles après perturbation de l’UA 062-51 et de l’UA 062-52 : </w:t>
      </w:r>
    </w:p>
    <w:p w:rsidR="00CE5299" w:rsidRPr="006E37FA" w:rsidRDefault="00CE5299" w:rsidP="00CE5299">
      <w:pPr>
        <w:pStyle w:val="Paragraphedeliste"/>
        <w:numPr>
          <w:ilvl w:val="0"/>
          <w:numId w:val="13"/>
        </w:numPr>
        <w:spacing w:before="120" w:after="120"/>
      </w:pPr>
      <w:r>
        <w:t xml:space="preserve"> « Portrait historique de l’UAF 061-52 » (2012).  Ce document fait référence à de </w:t>
      </w:r>
      <w:r w:rsidRPr="006E37FA">
        <w:t>nombreux autres documents sur les perturbations naturelles en lien avec la région.</w:t>
      </w:r>
    </w:p>
    <w:p w:rsidR="00CE5299" w:rsidRPr="006E37FA" w:rsidRDefault="00CE5299" w:rsidP="00CE5299">
      <w:pPr>
        <w:pStyle w:val="Paragraphedeliste"/>
        <w:numPr>
          <w:ilvl w:val="0"/>
          <w:numId w:val="13"/>
        </w:numPr>
        <w:spacing w:line="240" w:lineRule="auto"/>
      </w:pPr>
      <w:r w:rsidRPr="006E37FA">
        <w:rPr>
          <w:lang w:val="en-CA"/>
        </w:rPr>
        <w:t>« Forest management guide for natural disturbance pattern emulation, version 3.1., Ontario Ministry of Natural Resources, Toronto, Ontario</w:t>
      </w:r>
      <w:r>
        <w:rPr>
          <w:lang w:val="en-CA"/>
        </w:rPr>
        <w:t xml:space="preserve"> (2001)</w:t>
      </w:r>
      <w:r w:rsidRPr="006E37FA">
        <w:rPr>
          <w:lang w:val="en-CA"/>
        </w:rPr>
        <w:t>.</w:t>
      </w:r>
      <w:r>
        <w:rPr>
          <w:lang w:val="en-CA"/>
        </w:rPr>
        <w:t xml:space="preserve">  </w:t>
      </w:r>
      <w:r w:rsidRPr="006E37FA">
        <w:rPr>
          <w:lang w:val="fr-CA"/>
        </w:rPr>
        <w:t>Ce document permet surtout d’identifier la structure résiduelle après feux.</w:t>
      </w:r>
    </w:p>
    <w:p w:rsidR="00CE5299" w:rsidRDefault="00CE5299" w:rsidP="00CE5299">
      <w:pPr>
        <w:pStyle w:val="Paragraphedeliste"/>
        <w:numPr>
          <w:ilvl w:val="0"/>
          <w:numId w:val="13"/>
        </w:numPr>
        <w:spacing w:before="120" w:after="120"/>
      </w:pPr>
      <w:r>
        <w:t>« </w:t>
      </w:r>
      <w:r w:rsidRPr="006E37FA">
        <w:rPr>
          <w:iCs/>
          <w:lang w:val="fr-CA" w:eastAsia="fr-CA"/>
        </w:rPr>
        <w:t>Modélisation de la variabilité naturelle de la structure d’âge des forêts du Québec</w:t>
      </w:r>
      <w:r>
        <w:rPr>
          <w:iCs/>
          <w:lang w:val="fr-CA" w:eastAsia="fr-CA"/>
        </w:rPr>
        <w:t xml:space="preserve"> » (2015). Ce document permet d’avoir une image de la variabilité naturelle des conditions forestières réalisée à partir d’un modèle de perturbation naturelle. </w:t>
      </w:r>
      <w:r>
        <w:t>Plan d’aménagement forestier intégré tactique Unité d’aménagement 062-52</w:t>
      </w:r>
    </w:p>
    <w:p w:rsidR="00CE5299" w:rsidRPr="006E37FA" w:rsidRDefault="00CE5299" w:rsidP="00F77507">
      <w:pPr>
        <w:pStyle w:val="Paragraphedeliste"/>
        <w:spacing w:before="120" w:after="120"/>
      </w:pPr>
    </w:p>
    <w:p w:rsidR="00441B27" w:rsidRPr="00441B27" w:rsidRDefault="00CE5299" w:rsidP="00441B27">
      <w:pPr>
        <w:pStyle w:val="Titre2"/>
        <w:numPr>
          <w:ilvl w:val="1"/>
          <w:numId w:val="15"/>
        </w:numPr>
        <w:spacing w:before="120" w:after="120"/>
        <w:jc w:val="both"/>
      </w:pPr>
      <w:bookmarkStart w:id="15" w:name="_Toc233775131"/>
      <w:bookmarkStart w:id="16" w:name="_Toc303235065"/>
      <w:bookmarkStart w:id="17" w:name="_Toc422129800"/>
      <w:bookmarkStart w:id="18" w:name="_Toc484513466"/>
      <w:bookmarkStart w:id="19" w:name="OLE_LINK11"/>
      <w:r>
        <w:t>Dynamique des perturbations naturelle</w:t>
      </w:r>
      <w:bookmarkEnd w:id="15"/>
      <w:bookmarkEnd w:id="16"/>
      <w:r>
        <w:t>s</w:t>
      </w:r>
      <w:bookmarkEnd w:id="17"/>
      <w:bookmarkEnd w:id="18"/>
    </w:p>
    <w:p w:rsidR="00CE5299" w:rsidRPr="00361DA2" w:rsidRDefault="00CE5299" w:rsidP="00CE5299">
      <w:pPr>
        <w:spacing w:before="120" w:after="120"/>
        <w:jc w:val="both"/>
      </w:pPr>
      <w:r w:rsidRPr="00361DA2">
        <w:t xml:space="preserve">Dans </w:t>
      </w:r>
      <w:r>
        <w:t xml:space="preserve">cette section, un sommaire du régime </w:t>
      </w:r>
      <w:r w:rsidRPr="00361DA2">
        <w:t xml:space="preserve">de perturbations naturelles </w:t>
      </w:r>
      <w:r>
        <w:t>de l’érablière à</w:t>
      </w:r>
      <w:r w:rsidRPr="00361DA2">
        <w:t xml:space="preserve"> bouleau jaune </w:t>
      </w:r>
      <w:r>
        <w:t>et de la sapinière à bouleau jaune</w:t>
      </w:r>
      <w:r w:rsidR="00F77507">
        <w:t xml:space="preserve"> </w:t>
      </w:r>
      <w:r w:rsidRPr="00361DA2">
        <w:t>est présenté. Par la suite, une description plus détaillée de chacun des types de perturbation est présenté</w:t>
      </w:r>
      <w:r>
        <w:t>e afin d’identifier des éléments clés sur les structures résiduelles après perturbations naturelles</w:t>
      </w:r>
      <w:r w:rsidRPr="00361DA2">
        <w:t xml:space="preserve">. </w:t>
      </w:r>
    </w:p>
    <w:bookmarkEnd w:id="19"/>
    <w:p w:rsidR="00CE5299" w:rsidRPr="006F2231" w:rsidRDefault="00CE5299" w:rsidP="00CE5299">
      <w:pPr>
        <w:spacing w:before="120" w:after="120"/>
        <w:jc w:val="both"/>
      </w:pPr>
      <w:r w:rsidRPr="00361DA2">
        <w:rPr>
          <w:b/>
          <w:i/>
        </w:rPr>
        <w:t>Érablière à bouleau jaune</w:t>
      </w:r>
    </w:p>
    <w:p w:rsidR="00CE5299" w:rsidRDefault="00CE5299" w:rsidP="00CE5299">
      <w:pPr>
        <w:spacing w:before="120" w:after="120"/>
        <w:jc w:val="both"/>
        <w:rPr>
          <w:color w:val="000000"/>
          <w:shd w:val="clear" w:color="auto" w:fill="FFFFFF"/>
        </w:rPr>
      </w:pPr>
      <w:r>
        <w:rPr>
          <w:color w:val="000000"/>
          <w:shd w:val="clear" w:color="auto" w:fill="FFFFFF"/>
        </w:rPr>
        <w:t xml:space="preserve">Dans l’érablière à bouleau jaune </w:t>
      </w:r>
      <w:r w:rsidRPr="00F17B52">
        <w:rPr>
          <w:color w:val="000000"/>
          <w:shd w:val="clear" w:color="auto" w:fill="FFFFFF"/>
        </w:rPr>
        <w:t>comme dans toute la</w:t>
      </w:r>
      <w:r w:rsidRPr="00F17B52">
        <w:rPr>
          <w:rStyle w:val="apple-converted-space"/>
          <w:color w:val="000000"/>
          <w:shd w:val="clear" w:color="auto" w:fill="FFFFFF"/>
        </w:rPr>
        <w:t> </w:t>
      </w:r>
      <w:r w:rsidRPr="00F17B52">
        <w:t>zone</w:t>
      </w:r>
      <w:r w:rsidRPr="00F17B52">
        <w:rPr>
          <w:rStyle w:val="apple-converted-space"/>
          <w:color w:val="000000"/>
          <w:shd w:val="clear" w:color="auto" w:fill="FFFFFF"/>
        </w:rPr>
        <w:t> </w:t>
      </w:r>
      <w:r w:rsidRPr="00F17B52">
        <w:rPr>
          <w:color w:val="000000"/>
          <w:shd w:val="clear" w:color="auto" w:fill="FFFFFF"/>
        </w:rPr>
        <w:t xml:space="preserve">de la forêt décidue, le chablis est l'un des principaux éléments de la dynamique forestière. </w:t>
      </w:r>
      <w:r>
        <w:rPr>
          <w:color w:val="000000"/>
          <w:shd w:val="clear" w:color="auto" w:fill="FFFFFF"/>
        </w:rPr>
        <w:t>L</w:t>
      </w:r>
      <w:r w:rsidRPr="00F17B52">
        <w:rPr>
          <w:color w:val="000000"/>
          <w:shd w:val="clear" w:color="auto" w:fill="FFFFFF"/>
        </w:rPr>
        <w:t xml:space="preserve">'abondance des précipitations ainsi que la distribution des peuplements de pins blancs et rouges </w:t>
      </w:r>
      <w:r>
        <w:rPr>
          <w:color w:val="000000"/>
          <w:shd w:val="clear" w:color="auto" w:fill="FFFFFF"/>
        </w:rPr>
        <w:t>permettent de diviser</w:t>
      </w:r>
      <w:r w:rsidRPr="00F17B52">
        <w:rPr>
          <w:color w:val="000000"/>
          <w:shd w:val="clear" w:color="auto" w:fill="FFFFFF"/>
        </w:rPr>
        <w:t xml:space="preserve"> le domaine de l'érablière à bouleau jaune en deux</w:t>
      </w:r>
      <w:r w:rsidRPr="00F17B52">
        <w:rPr>
          <w:rStyle w:val="apple-converted-space"/>
          <w:color w:val="000000"/>
          <w:shd w:val="clear" w:color="auto" w:fill="FFFFFF"/>
        </w:rPr>
        <w:t> </w:t>
      </w:r>
      <w:r w:rsidRPr="00F17B52">
        <w:t>sous-domaines</w:t>
      </w:r>
      <w:r>
        <w:t xml:space="preserve"> : </w:t>
      </w:r>
      <w:r w:rsidRPr="00853485">
        <w:t>l’érablière à bouleau jaune</w:t>
      </w:r>
      <w:r>
        <w:t xml:space="preserve"> de </w:t>
      </w:r>
      <w:r w:rsidRPr="00F17B52">
        <w:rPr>
          <w:color w:val="000000"/>
          <w:shd w:val="clear" w:color="auto" w:fill="FFFFFF"/>
        </w:rPr>
        <w:t>l'</w:t>
      </w:r>
      <w:r>
        <w:rPr>
          <w:color w:val="000000"/>
          <w:shd w:val="clear" w:color="auto" w:fill="FFFFFF"/>
        </w:rPr>
        <w:t>O</w:t>
      </w:r>
      <w:r w:rsidRPr="00F17B52">
        <w:rPr>
          <w:color w:val="000000"/>
          <w:shd w:val="clear" w:color="auto" w:fill="FFFFFF"/>
        </w:rPr>
        <w:t>uest</w:t>
      </w:r>
      <w:r>
        <w:rPr>
          <w:color w:val="000000"/>
          <w:shd w:val="clear" w:color="auto" w:fill="FFFFFF"/>
        </w:rPr>
        <w:t xml:space="preserve"> (faibles précipitations et présence de pin blanc et pin rouge)</w:t>
      </w:r>
      <w:r w:rsidRPr="00F17B52">
        <w:rPr>
          <w:color w:val="000000"/>
          <w:shd w:val="clear" w:color="auto" w:fill="FFFFFF"/>
        </w:rPr>
        <w:t xml:space="preserve">, </w:t>
      </w:r>
      <w:r>
        <w:rPr>
          <w:color w:val="000000"/>
          <w:shd w:val="clear" w:color="auto" w:fill="FFFFFF"/>
        </w:rPr>
        <w:t xml:space="preserve">et l’érablière à bouleau jaune de </w:t>
      </w:r>
      <w:r w:rsidRPr="00F17B52">
        <w:rPr>
          <w:color w:val="000000"/>
          <w:shd w:val="clear" w:color="auto" w:fill="FFFFFF"/>
        </w:rPr>
        <w:t>l'</w:t>
      </w:r>
      <w:r>
        <w:rPr>
          <w:color w:val="000000"/>
          <w:shd w:val="clear" w:color="auto" w:fill="FFFFFF"/>
        </w:rPr>
        <w:t>E</w:t>
      </w:r>
      <w:r w:rsidRPr="00F17B52">
        <w:rPr>
          <w:color w:val="000000"/>
          <w:shd w:val="clear" w:color="auto" w:fill="FFFFFF"/>
        </w:rPr>
        <w:t>st</w:t>
      </w:r>
      <w:r>
        <w:rPr>
          <w:color w:val="000000"/>
          <w:shd w:val="clear" w:color="auto" w:fill="FFFFFF"/>
        </w:rPr>
        <w:t xml:space="preserve"> (précipitations plus élevées).</w:t>
      </w:r>
      <w:r w:rsidRPr="00F17B52">
        <w:rPr>
          <w:color w:val="000000"/>
          <w:shd w:val="clear" w:color="auto" w:fill="FFFFFF"/>
        </w:rPr>
        <w:t xml:space="preserve"> </w:t>
      </w:r>
      <w:r>
        <w:rPr>
          <w:color w:val="000000"/>
          <w:shd w:val="clear" w:color="auto" w:fill="FFFFFF"/>
        </w:rPr>
        <w:t>La majorité de la superficie de l’UA 62-51 et environ 10% de l’UA 62-52 sont couverte</w:t>
      </w:r>
      <w:r w:rsidR="00C34D0A">
        <w:rPr>
          <w:color w:val="000000"/>
          <w:shd w:val="clear" w:color="auto" w:fill="FFFFFF"/>
        </w:rPr>
        <w:t xml:space="preserve">s </w:t>
      </w:r>
      <w:r>
        <w:rPr>
          <w:color w:val="000000"/>
          <w:shd w:val="clear" w:color="auto" w:fill="FFFFFF"/>
        </w:rPr>
        <w:t>par ce domaine.</w:t>
      </w:r>
    </w:p>
    <w:p w:rsidR="00CE5299" w:rsidRDefault="00CE5299" w:rsidP="00CE5299">
      <w:pPr>
        <w:spacing w:before="120" w:after="120"/>
        <w:jc w:val="both"/>
        <w:rPr>
          <w:color w:val="000000"/>
          <w:shd w:val="clear" w:color="auto" w:fill="FFFFFF"/>
        </w:rPr>
      </w:pPr>
    </w:p>
    <w:p w:rsidR="00CE5299" w:rsidRPr="00CE5299" w:rsidRDefault="00CE5299" w:rsidP="00CE5299">
      <w:pPr>
        <w:spacing w:before="120" w:after="120"/>
        <w:jc w:val="both"/>
        <w:rPr>
          <w:b/>
          <w:i/>
          <w:color w:val="000000"/>
          <w:shd w:val="clear" w:color="auto" w:fill="FFFFFF"/>
        </w:rPr>
      </w:pPr>
      <w:r w:rsidRPr="00CE5299">
        <w:rPr>
          <w:b/>
          <w:i/>
          <w:color w:val="000000"/>
          <w:shd w:val="clear" w:color="auto" w:fill="FFFFFF"/>
        </w:rPr>
        <w:t>Sapinière à bouleau jaune</w:t>
      </w:r>
    </w:p>
    <w:p w:rsidR="00CE5299" w:rsidRPr="001F050C" w:rsidRDefault="00CE5299" w:rsidP="00CE5299">
      <w:pPr>
        <w:spacing w:before="120" w:after="120"/>
        <w:jc w:val="both"/>
        <w:rPr>
          <w:i/>
        </w:rPr>
      </w:pPr>
      <w:r>
        <w:t xml:space="preserve">Les trouées ont un rôle important dans la sapinière à bouleau jaune (Hebert 2003). En effet, l’équilibre entre les espèces longévives (ex.: bouleau jaune) est maintenu par les trouées. L’importance des troués est d’autant plus marquée dans cet écosystème par le fait que les épidémies de TBE occasionnent aussi des troués (Kneeshaw et Bergeron 1996).  Les chablis et les épidémies de TBE sont aussi très importants dans la sapinière à bouleau jaune. (Roy et al. 2010).  90% de la superficie de l’UA 62-52 fait partie de ce domaine bioclimatique. </w:t>
      </w:r>
    </w:p>
    <w:p w:rsidR="00441B27" w:rsidRPr="00441B27" w:rsidRDefault="00441B27" w:rsidP="00441B27">
      <w:pPr>
        <w:pStyle w:val="Titre3"/>
        <w:numPr>
          <w:ilvl w:val="2"/>
          <w:numId w:val="15"/>
        </w:numPr>
      </w:pPr>
      <w:bookmarkStart w:id="20" w:name="_Toc484513467"/>
      <w:r>
        <w:t>Feux</w:t>
      </w:r>
      <w:bookmarkEnd w:id="20"/>
    </w:p>
    <w:p w:rsidR="00CE5299" w:rsidRPr="00CD2C1B" w:rsidRDefault="00CE5299" w:rsidP="00CE5299">
      <w:pPr>
        <w:autoSpaceDE w:val="0"/>
        <w:autoSpaceDN w:val="0"/>
        <w:adjustRightInd w:val="0"/>
        <w:spacing w:before="120" w:after="120"/>
        <w:jc w:val="both"/>
        <w:rPr>
          <w:shd w:val="clear" w:color="auto" w:fill="FFFFFF"/>
        </w:rPr>
      </w:pPr>
      <w:r w:rsidRPr="00361DA2">
        <w:rPr>
          <w:shd w:val="clear" w:color="auto" w:fill="FFFFFF"/>
        </w:rPr>
        <w:t xml:space="preserve">Les études portant sur l’effet des feux sur l’écosystème forestier sont beaucoup plus abondantes pour la forêt boréale que pour les forêts feuillues et mixtes où le feu joue un rôle moindre dans le régime de perturbation naturelle. </w:t>
      </w:r>
      <w:r>
        <w:rPr>
          <w:shd w:val="clear" w:color="auto" w:fill="FFFFFF"/>
        </w:rPr>
        <w:t xml:space="preserve">Dans l’étude de Bouchard et </w:t>
      </w:r>
      <w:r w:rsidRPr="00CD2C1B">
        <w:rPr>
          <w:i/>
          <w:shd w:val="clear" w:color="auto" w:fill="FFFFFF"/>
        </w:rPr>
        <w:t>al.</w:t>
      </w:r>
      <w:r>
        <w:rPr>
          <w:i/>
          <w:shd w:val="clear" w:color="auto" w:fill="FFFFFF"/>
        </w:rPr>
        <w:t xml:space="preserve"> </w:t>
      </w:r>
      <w:r>
        <w:rPr>
          <w:shd w:val="clear" w:color="auto" w:fill="FFFFFF"/>
        </w:rPr>
        <w:t>(2015), le cycle de feux est établi à 1000 ans pour la zone de l’érablière.  La superficie maximale des feux est de 100 km</w:t>
      </w:r>
      <w:r w:rsidRPr="00CD2C1B">
        <w:rPr>
          <w:shd w:val="clear" w:color="auto" w:fill="FFFFFF"/>
          <w:vertAlign w:val="superscript"/>
        </w:rPr>
        <w:t>2</w:t>
      </w:r>
      <w:r>
        <w:rPr>
          <w:shd w:val="clear" w:color="auto" w:fill="FFFFFF"/>
        </w:rPr>
        <w:t xml:space="preserve"> avec une moyenne de 1,5 feu par période de 10 ans pour cette région. </w:t>
      </w:r>
    </w:p>
    <w:p w:rsidR="00CE5299" w:rsidRDefault="00CE5299" w:rsidP="00CE5299">
      <w:pPr>
        <w:autoSpaceDE w:val="0"/>
        <w:autoSpaceDN w:val="0"/>
        <w:adjustRightInd w:val="0"/>
        <w:spacing w:before="120" w:after="120"/>
        <w:jc w:val="both"/>
        <w:rPr>
          <w:shd w:val="clear" w:color="auto" w:fill="FFFFFF"/>
        </w:rPr>
      </w:pPr>
      <w:r>
        <w:rPr>
          <w:shd w:val="clear" w:color="auto" w:fill="FFFFFF"/>
        </w:rPr>
        <w:t xml:space="preserve">Malgré le faible rôle de cette perturbation sur le paysage, les feux de forêt auraient un rôle important à jouer pour permettre la régénération des </w:t>
      </w:r>
      <w:r w:rsidRPr="00361DA2">
        <w:rPr>
          <w:shd w:val="clear" w:color="auto" w:fill="FFFFFF"/>
        </w:rPr>
        <w:t>peuplement</w:t>
      </w:r>
      <w:r>
        <w:rPr>
          <w:shd w:val="clear" w:color="auto" w:fill="FFFFFF"/>
        </w:rPr>
        <w:t>s</w:t>
      </w:r>
      <w:r w:rsidRPr="00361DA2">
        <w:rPr>
          <w:shd w:val="clear" w:color="auto" w:fill="FFFFFF"/>
        </w:rPr>
        <w:t xml:space="preserve"> de pin</w:t>
      </w:r>
      <w:r>
        <w:rPr>
          <w:shd w:val="clear" w:color="auto" w:fill="FFFFFF"/>
        </w:rPr>
        <w:t>s (</w:t>
      </w:r>
      <w:r w:rsidRPr="00361DA2">
        <w:rPr>
          <w:shd w:val="clear" w:color="auto" w:fill="FFFFFF"/>
        </w:rPr>
        <w:t xml:space="preserve">blanc </w:t>
      </w:r>
      <w:r>
        <w:rPr>
          <w:shd w:val="clear" w:color="auto" w:fill="FFFFFF"/>
        </w:rPr>
        <w:t xml:space="preserve">et rouge) et </w:t>
      </w:r>
      <w:r w:rsidRPr="00361DA2">
        <w:rPr>
          <w:shd w:val="clear" w:color="auto" w:fill="FFFFFF"/>
        </w:rPr>
        <w:t xml:space="preserve">de chêne rouge </w:t>
      </w:r>
      <w:r w:rsidDel="00203FBE">
        <w:rPr>
          <w:shd w:val="clear" w:color="auto" w:fill="FFFFFF"/>
        </w:rPr>
        <w:t xml:space="preserve"> </w:t>
      </w:r>
      <w:r>
        <w:rPr>
          <w:shd w:val="clear" w:color="auto" w:fill="FFFFFF"/>
        </w:rPr>
        <w:t>(</w:t>
      </w:r>
      <w:r w:rsidRPr="00361DA2">
        <w:rPr>
          <w:shd w:val="clear" w:color="auto" w:fill="FFFFFF"/>
        </w:rPr>
        <w:t xml:space="preserve">Doyon et Bouffard </w:t>
      </w:r>
      <w:r w:rsidRPr="00831281">
        <w:rPr>
          <w:shd w:val="clear" w:color="auto" w:fill="FFFFFF"/>
        </w:rPr>
        <w:t>2009a</w:t>
      </w:r>
      <w:r w:rsidRPr="00361DA2">
        <w:rPr>
          <w:shd w:val="clear" w:color="auto" w:fill="FFFFFF"/>
        </w:rPr>
        <w:t>).</w:t>
      </w:r>
    </w:p>
    <w:p w:rsidR="00441B27" w:rsidRPr="00441B27" w:rsidRDefault="00CE5299" w:rsidP="00441B27">
      <w:pPr>
        <w:pStyle w:val="Titre4"/>
        <w:numPr>
          <w:ilvl w:val="3"/>
          <w:numId w:val="15"/>
        </w:numPr>
      </w:pPr>
      <w:r w:rsidRPr="00441B27">
        <w:t>Structure interne résiduelle des peuplements après feu</w:t>
      </w:r>
    </w:p>
    <w:p w:rsidR="00CE5299" w:rsidRDefault="00CE5299" w:rsidP="00CE5299">
      <w:pPr>
        <w:autoSpaceDE w:val="0"/>
        <w:autoSpaceDN w:val="0"/>
        <w:adjustRightInd w:val="0"/>
        <w:spacing w:before="120" w:after="120"/>
        <w:jc w:val="both"/>
        <w:rPr>
          <w:shd w:val="clear" w:color="auto" w:fill="FFFFFF"/>
        </w:rPr>
      </w:pPr>
      <w:r w:rsidRPr="00361DA2">
        <w:rPr>
          <w:shd w:val="clear" w:color="auto" w:fill="FFFFFF"/>
        </w:rPr>
        <w:t>Plusieurs études sur les structures résiduelles après feux ont été effectuées dans les forêts mélangé</w:t>
      </w:r>
      <w:r w:rsidR="00C34D0A">
        <w:rPr>
          <w:shd w:val="clear" w:color="auto" w:fill="FFFFFF"/>
        </w:rPr>
        <w:t>es</w:t>
      </w:r>
      <w:r w:rsidRPr="00361DA2">
        <w:rPr>
          <w:shd w:val="clear" w:color="auto" w:fill="FFFFFF"/>
        </w:rPr>
        <w:t xml:space="preserve"> et boréales de l’Ouest canadien (ex. Smyth et al. 2005). </w:t>
      </w:r>
      <w:r>
        <w:rPr>
          <w:shd w:val="clear" w:color="auto" w:fill="FFFFFF"/>
        </w:rPr>
        <w:t>Dans la région de Lebel-sur-Quévillon en Abitibi-Témiscamin</w:t>
      </w:r>
      <w:r w:rsidR="00C34D0A">
        <w:rPr>
          <w:shd w:val="clear" w:color="auto" w:fill="FFFFFF"/>
        </w:rPr>
        <w:t>g</w:t>
      </w:r>
      <w:r>
        <w:rPr>
          <w:shd w:val="clear" w:color="auto" w:fill="FFFFFF"/>
        </w:rPr>
        <w:t>ue, l’analyse d’un grand incendie ayant couvert un territoire de près de 500km</w:t>
      </w:r>
      <w:r w:rsidRPr="00021ACB">
        <w:rPr>
          <w:shd w:val="clear" w:color="auto" w:fill="FFFFFF"/>
          <w:vertAlign w:val="superscript"/>
        </w:rPr>
        <w:t>2</w:t>
      </w:r>
      <w:r>
        <w:rPr>
          <w:shd w:val="clear" w:color="auto" w:fill="FFFFFF"/>
        </w:rPr>
        <w:t xml:space="preserve"> a permis de conclure qu’environ 3% de la superficie était composée d’</w:t>
      </w:r>
      <w:r w:rsidR="00C34D0A">
        <w:rPr>
          <w:shd w:val="clear" w:color="auto" w:fill="FFFFFF"/>
        </w:rPr>
        <w:t>î</w:t>
      </w:r>
      <w:r>
        <w:rPr>
          <w:shd w:val="clear" w:color="auto" w:fill="FFFFFF"/>
        </w:rPr>
        <w:t>lots d’arbres vivants (</w:t>
      </w:r>
      <w:r w:rsidRPr="00021ACB">
        <w:rPr>
          <w:shd w:val="clear" w:color="auto" w:fill="FFFFFF"/>
        </w:rPr>
        <w:t xml:space="preserve">Kafka et al. </w:t>
      </w:r>
      <w:r>
        <w:rPr>
          <w:shd w:val="clear" w:color="auto" w:fill="FFFFFF"/>
        </w:rPr>
        <w:t xml:space="preserve">2001). </w:t>
      </w:r>
    </w:p>
    <w:p w:rsidR="00CE5299" w:rsidRPr="00361DA2" w:rsidRDefault="00CE5299" w:rsidP="00CE5299">
      <w:pPr>
        <w:autoSpaceDE w:val="0"/>
        <w:autoSpaceDN w:val="0"/>
        <w:adjustRightInd w:val="0"/>
        <w:spacing w:before="120" w:after="120"/>
        <w:jc w:val="both"/>
        <w:rPr>
          <w:shd w:val="clear" w:color="auto" w:fill="FFFFFF"/>
        </w:rPr>
      </w:pPr>
      <w:r>
        <w:rPr>
          <w:shd w:val="clear" w:color="auto" w:fill="FFFFFF"/>
        </w:rPr>
        <w:t>L</w:t>
      </w:r>
      <w:r w:rsidRPr="00361DA2">
        <w:rPr>
          <w:shd w:val="clear" w:color="auto" w:fill="FFFFFF"/>
        </w:rPr>
        <w:t>e ministère des Ressources naturelles de l’Ontario</w:t>
      </w:r>
      <w:r>
        <w:rPr>
          <w:shd w:val="clear" w:color="auto" w:fill="FFFFFF"/>
        </w:rPr>
        <w:t xml:space="preserve"> (OMNR)</w:t>
      </w:r>
      <w:r w:rsidRPr="00361DA2">
        <w:rPr>
          <w:shd w:val="clear" w:color="auto" w:fill="FFFFFF"/>
        </w:rPr>
        <w:t xml:space="preserve"> a publié un guide d’aménagement des forêts basé sur le régime de perturbations naturelles dans sa province (OMNR, 2001). Quarante-deux (42) feux de la province de l’Ontario ont été étudiés (OMNR, 1997)</w:t>
      </w:r>
      <w:r>
        <w:rPr>
          <w:shd w:val="clear" w:color="auto" w:fill="FFFFFF"/>
        </w:rPr>
        <w:t xml:space="preserve"> dans divers domaines climatiques  (Hill’s site Regions :</w:t>
      </w:r>
      <w:r w:rsidRPr="00360B4B">
        <w:rPr>
          <w:rFonts w:ascii="JansonText-Roman" w:hAnsi="JansonText-Roman" w:cs="JansonText-Roman"/>
          <w:sz w:val="19"/>
          <w:szCs w:val="19"/>
          <w:lang w:val="fr-CA" w:eastAsia="fr-CA"/>
        </w:rPr>
        <w:t xml:space="preserve"> </w:t>
      </w:r>
      <w:r w:rsidRPr="00417AB2">
        <w:rPr>
          <w:lang w:val="fr-CA" w:eastAsia="fr-CA"/>
        </w:rPr>
        <w:t xml:space="preserve">3S, 4S, 3W, 3E,  </w:t>
      </w:r>
      <w:r w:rsidRPr="00417AB2">
        <w:rPr>
          <w:shd w:val="clear" w:color="auto" w:fill="FFFFFF"/>
        </w:rPr>
        <w:t xml:space="preserve"> </w:t>
      </w:r>
      <w:r w:rsidRPr="00417AB2">
        <w:rPr>
          <w:lang w:val="fr-CA" w:eastAsia="fr-CA"/>
        </w:rPr>
        <w:t>5S, 5E, 4W et 4E</w:t>
      </w:r>
      <w:r>
        <w:rPr>
          <w:shd w:val="clear" w:color="auto" w:fill="FFFFFF"/>
        </w:rPr>
        <w:t>) liés à la forêt boréale et à la forêt de la région des Grands</w:t>
      </w:r>
      <w:r w:rsidR="00C34D0A">
        <w:rPr>
          <w:shd w:val="clear" w:color="auto" w:fill="FFFFFF"/>
        </w:rPr>
        <w:t xml:space="preserve"> </w:t>
      </w:r>
      <w:r>
        <w:rPr>
          <w:shd w:val="clear" w:color="auto" w:fill="FFFFFF"/>
        </w:rPr>
        <w:t>Lacs et du S</w:t>
      </w:r>
      <w:r w:rsidR="00C34D0A">
        <w:rPr>
          <w:shd w:val="clear" w:color="auto" w:fill="FFFFFF"/>
        </w:rPr>
        <w:t>aint</w:t>
      </w:r>
      <w:r>
        <w:rPr>
          <w:shd w:val="clear" w:color="auto" w:fill="FFFFFF"/>
        </w:rPr>
        <w:t>-Laurent. L</w:t>
      </w:r>
      <w:r w:rsidRPr="00361DA2">
        <w:rPr>
          <w:shd w:val="clear" w:color="auto" w:fill="FFFFFF"/>
        </w:rPr>
        <w:t>es structures résiduelles demeurant suite au passage de ces derniers ont été caractérisées de la manière suivante :</w:t>
      </w:r>
    </w:p>
    <w:p w:rsidR="00CE5299" w:rsidRPr="00361DA2" w:rsidRDefault="00CE5299" w:rsidP="00CE5299">
      <w:pPr>
        <w:numPr>
          <w:ilvl w:val="0"/>
          <w:numId w:val="11"/>
        </w:numPr>
        <w:autoSpaceDE w:val="0"/>
        <w:autoSpaceDN w:val="0"/>
        <w:adjustRightInd w:val="0"/>
        <w:spacing w:before="120" w:after="120"/>
        <w:jc w:val="both"/>
        <w:rPr>
          <w:shd w:val="clear" w:color="auto" w:fill="FFFFFF"/>
        </w:rPr>
      </w:pPr>
      <w:r>
        <w:rPr>
          <w:shd w:val="clear" w:color="auto" w:fill="FFFFFF"/>
        </w:rPr>
        <w:t>Î</w:t>
      </w:r>
      <w:r w:rsidRPr="00361DA2">
        <w:rPr>
          <w:shd w:val="clear" w:color="auto" w:fill="FFFFFF"/>
        </w:rPr>
        <w:t>lots internes résiduel</w:t>
      </w:r>
      <w:r>
        <w:rPr>
          <w:shd w:val="clear" w:color="auto" w:fill="FFFFFF"/>
        </w:rPr>
        <w:t>s</w:t>
      </w:r>
      <w:r w:rsidRPr="00361DA2">
        <w:rPr>
          <w:shd w:val="clear" w:color="auto" w:fill="FFFFFF"/>
        </w:rPr>
        <w:t xml:space="preserve"> variant de 0,4 à 1,0 ha ;</w:t>
      </w:r>
    </w:p>
    <w:p w:rsidR="00CE5299" w:rsidRPr="00361DA2" w:rsidRDefault="00CE5299" w:rsidP="00CE5299">
      <w:pPr>
        <w:numPr>
          <w:ilvl w:val="0"/>
          <w:numId w:val="11"/>
        </w:numPr>
        <w:autoSpaceDE w:val="0"/>
        <w:autoSpaceDN w:val="0"/>
        <w:adjustRightInd w:val="0"/>
        <w:spacing w:before="120" w:after="120"/>
        <w:jc w:val="both"/>
        <w:rPr>
          <w:shd w:val="clear" w:color="auto" w:fill="FFFFFF"/>
        </w:rPr>
      </w:pPr>
      <w:r w:rsidRPr="00361DA2">
        <w:rPr>
          <w:shd w:val="clear" w:color="auto" w:fill="FFFFFF"/>
        </w:rPr>
        <w:t>Péninsules résiduelles variant de 0,7 à 5 ha ;</w:t>
      </w:r>
    </w:p>
    <w:p w:rsidR="00CE5299" w:rsidRPr="00361DA2" w:rsidRDefault="00CE5299" w:rsidP="00CE5299">
      <w:pPr>
        <w:numPr>
          <w:ilvl w:val="0"/>
          <w:numId w:val="11"/>
        </w:numPr>
        <w:autoSpaceDE w:val="0"/>
        <w:autoSpaceDN w:val="0"/>
        <w:adjustRightInd w:val="0"/>
        <w:spacing w:before="120" w:after="120"/>
        <w:jc w:val="both"/>
        <w:rPr>
          <w:shd w:val="clear" w:color="auto" w:fill="FFFFFF"/>
        </w:rPr>
      </w:pPr>
      <w:r w:rsidRPr="00361DA2">
        <w:rPr>
          <w:shd w:val="clear" w:color="auto" w:fill="FFFFFF"/>
        </w:rPr>
        <w:t>De 6 à 15 îlots internes résiduels de &lt;</w:t>
      </w:r>
      <w:r>
        <w:rPr>
          <w:shd w:val="clear" w:color="auto" w:fill="FFFFFF"/>
        </w:rPr>
        <w:t>0,</w:t>
      </w:r>
      <w:r w:rsidRPr="00361DA2">
        <w:rPr>
          <w:shd w:val="clear" w:color="auto" w:fill="FFFFFF"/>
        </w:rPr>
        <w:t>25 ha par 100 ha de superficie brûlée ;</w:t>
      </w:r>
    </w:p>
    <w:p w:rsidR="00CE5299" w:rsidRDefault="00CE5299" w:rsidP="00CE5299">
      <w:pPr>
        <w:numPr>
          <w:ilvl w:val="0"/>
          <w:numId w:val="11"/>
        </w:numPr>
        <w:autoSpaceDE w:val="0"/>
        <w:autoSpaceDN w:val="0"/>
        <w:adjustRightInd w:val="0"/>
        <w:spacing w:before="120" w:after="120"/>
        <w:jc w:val="both"/>
        <w:rPr>
          <w:shd w:val="clear" w:color="auto" w:fill="FFFFFF"/>
        </w:rPr>
      </w:pPr>
      <w:r w:rsidRPr="00361DA2">
        <w:rPr>
          <w:shd w:val="clear" w:color="auto" w:fill="FFFFFF"/>
        </w:rPr>
        <w:t xml:space="preserve">De </w:t>
      </w:r>
      <w:r>
        <w:rPr>
          <w:shd w:val="clear" w:color="auto" w:fill="FFFFFF"/>
        </w:rPr>
        <w:t>3</w:t>
      </w:r>
      <w:r w:rsidRPr="00361DA2">
        <w:rPr>
          <w:shd w:val="clear" w:color="auto" w:fill="FFFFFF"/>
        </w:rPr>
        <w:t xml:space="preserve"> à </w:t>
      </w:r>
      <w:r>
        <w:rPr>
          <w:shd w:val="clear" w:color="auto" w:fill="FFFFFF"/>
        </w:rPr>
        <w:t>6</w:t>
      </w:r>
      <w:r w:rsidRPr="00361DA2">
        <w:rPr>
          <w:shd w:val="clear" w:color="auto" w:fill="FFFFFF"/>
        </w:rPr>
        <w:t xml:space="preserve"> îlots internes résiduels de &gt;</w:t>
      </w:r>
      <w:r>
        <w:rPr>
          <w:shd w:val="clear" w:color="auto" w:fill="FFFFFF"/>
        </w:rPr>
        <w:t>0,</w:t>
      </w:r>
      <w:r w:rsidRPr="00361DA2">
        <w:rPr>
          <w:shd w:val="clear" w:color="auto" w:fill="FFFFFF"/>
        </w:rPr>
        <w:t>25 ha par 100 ha de superficie brûlée</w:t>
      </w:r>
    </w:p>
    <w:p w:rsidR="00CE5299" w:rsidRPr="00361DA2" w:rsidRDefault="00CE5299" w:rsidP="00CE5299">
      <w:pPr>
        <w:numPr>
          <w:ilvl w:val="0"/>
          <w:numId w:val="11"/>
        </w:numPr>
        <w:autoSpaceDE w:val="0"/>
        <w:autoSpaceDN w:val="0"/>
        <w:adjustRightInd w:val="0"/>
        <w:spacing w:before="120" w:after="120"/>
        <w:jc w:val="both"/>
        <w:rPr>
          <w:shd w:val="clear" w:color="auto" w:fill="FFFFFF"/>
        </w:rPr>
      </w:pPr>
      <w:r w:rsidRPr="00361DA2">
        <w:rPr>
          <w:shd w:val="clear" w:color="auto" w:fill="FFFFFF"/>
        </w:rPr>
        <w:t>De 5 à 14 péninsules résiduelles de &gt;</w:t>
      </w:r>
      <w:r>
        <w:rPr>
          <w:shd w:val="clear" w:color="auto" w:fill="FFFFFF"/>
        </w:rPr>
        <w:t>0,</w:t>
      </w:r>
      <w:r w:rsidRPr="00361DA2">
        <w:rPr>
          <w:shd w:val="clear" w:color="auto" w:fill="FFFFFF"/>
        </w:rPr>
        <w:t>5 ha par 100 ha de superficie brûlée ;</w:t>
      </w:r>
    </w:p>
    <w:p w:rsidR="00CE5299" w:rsidRPr="00361DA2" w:rsidRDefault="00CE5299" w:rsidP="00CE5299">
      <w:pPr>
        <w:numPr>
          <w:ilvl w:val="0"/>
          <w:numId w:val="11"/>
        </w:numPr>
        <w:autoSpaceDE w:val="0"/>
        <w:autoSpaceDN w:val="0"/>
        <w:adjustRightInd w:val="0"/>
        <w:spacing w:before="120" w:after="120"/>
        <w:jc w:val="both"/>
        <w:rPr>
          <w:shd w:val="clear" w:color="auto" w:fill="FFFFFF"/>
        </w:rPr>
      </w:pPr>
      <w:r w:rsidRPr="00361DA2">
        <w:rPr>
          <w:shd w:val="clear" w:color="auto" w:fill="FFFFFF"/>
        </w:rPr>
        <w:t>Aires résiduelles (îlots et péninsules) moyennes variant de 1,4 à 3,4 ha.</w:t>
      </w:r>
    </w:p>
    <w:p w:rsidR="00CE5299" w:rsidRDefault="00CE5299" w:rsidP="004050A3">
      <w:pPr>
        <w:autoSpaceDE w:val="0"/>
        <w:autoSpaceDN w:val="0"/>
        <w:adjustRightInd w:val="0"/>
        <w:spacing w:before="120" w:after="120"/>
        <w:jc w:val="both"/>
        <w:rPr>
          <w:shd w:val="clear" w:color="auto" w:fill="FFFFFF"/>
        </w:rPr>
      </w:pPr>
      <w:r w:rsidRPr="00361DA2">
        <w:rPr>
          <w:shd w:val="clear" w:color="auto" w:fill="FFFFFF"/>
        </w:rPr>
        <w:t xml:space="preserve">Selon Dragotescu (2008), les îlots laissés sur pied suite au passage d’un feu ont tendance à avoir une forme circulaire. Dans l’étude du ministère de l’Ontario (2001), le pourcentage de superficie résiduelle </w:t>
      </w:r>
      <w:r>
        <w:rPr>
          <w:shd w:val="clear" w:color="auto" w:fill="FFFFFF"/>
        </w:rPr>
        <w:t xml:space="preserve">à la </w:t>
      </w:r>
      <w:r w:rsidRPr="00361DA2">
        <w:rPr>
          <w:shd w:val="clear" w:color="auto" w:fill="FFFFFF"/>
        </w:rPr>
        <w:t xml:space="preserve">suite </w:t>
      </w:r>
      <w:r>
        <w:rPr>
          <w:shd w:val="clear" w:color="auto" w:fill="FFFFFF"/>
        </w:rPr>
        <w:t>d’un</w:t>
      </w:r>
      <w:r w:rsidRPr="00361DA2">
        <w:rPr>
          <w:shd w:val="clear" w:color="auto" w:fill="FFFFFF"/>
        </w:rPr>
        <w:t xml:space="preserve"> passage d’un feu variait de 10% à 50% avec une moyenne de 24% (5% d’îlots et 19% de péninsules)</w:t>
      </w:r>
      <w:r>
        <w:rPr>
          <w:shd w:val="clear" w:color="auto" w:fill="FFFFFF"/>
        </w:rPr>
        <w:t>.</w:t>
      </w:r>
      <w:r w:rsidRPr="00361DA2">
        <w:rPr>
          <w:shd w:val="clear" w:color="auto" w:fill="FFFFFF"/>
        </w:rPr>
        <w:t xml:space="preserve"> </w:t>
      </w:r>
      <w:r>
        <w:rPr>
          <w:shd w:val="clear" w:color="auto" w:fill="FFFFFF"/>
        </w:rPr>
        <w:t>U</w:t>
      </w:r>
      <w:r w:rsidRPr="00361DA2">
        <w:rPr>
          <w:shd w:val="clear" w:color="auto" w:fill="FFFFFF"/>
        </w:rPr>
        <w:t>n pourcentage de superficies résiduelles à conserver par type de couvert est suggéré</w:t>
      </w:r>
      <w:r>
        <w:rPr>
          <w:shd w:val="clear" w:color="auto" w:fill="FFFFFF"/>
        </w:rPr>
        <w:t xml:space="preserve"> par le OMNR au</w:t>
      </w:r>
      <w:r>
        <w:rPr>
          <w:shd w:val="clear" w:color="auto" w:fill="FFFFFF"/>
        </w:rPr>
        <w:fldChar w:fldCharType="begin"/>
      </w:r>
      <w:r>
        <w:rPr>
          <w:shd w:val="clear" w:color="auto" w:fill="FFFFFF"/>
        </w:rPr>
        <w:instrText xml:space="preserve"> REF _Ref330987122 \h  \* MERGEFORMAT </w:instrText>
      </w:r>
      <w:r>
        <w:rPr>
          <w:shd w:val="clear" w:color="auto" w:fill="FFFFFF"/>
        </w:rPr>
      </w:r>
      <w:r>
        <w:rPr>
          <w:shd w:val="clear" w:color="auto" w:fill="FFFFFF"/>
        </w:rPr>
        <w:fldChar w:fldCharType="separate"/>
      </w:r>
      <w:r w:rsidR="00241D60">
        <w:t xml:space="preserve"> </w:t>
      </w:r>
      <w:r w:rsidR="00241D60" w:rsidRPr="00361DA2">
        <w:rPr>
          <w:noProof/>
        </w:rPr>
        <w:t xml:space="preserve">Tableau </w:t>
      </w:r>
      <w:r w:rsidR="00241D60">
        <w:rPr>
          <w:noProof/>
        </w:rPr>
        <w:t>1</w:t>
      </w:r>
      <w:r>
        <w:rPr>
          <w:shd w:val="clear" w:color="auto" w:fill="FFFFFF"/>
        </w:rPr>
        <w:fldChar w:fldCharType="end"/>
      </w:r>
      <w:r w:rsidRPr="00361DA2">
        <w:rPr>
          <w:shd w:val="clear" w:color="auto" w:fill="FFFFFF"/>
        </w:rPr>
        <w:t>.</w:t>
      </w:r>
      <w:r>
        <w:rPr>
          <w:shd w:val="clear" w:color="auto" w:fill="FFFFFF"/>
        </w:rPr>
        <w:t xml:space="preserve"> Dans l’étude du OMRN (2001), la distribution des superficies associées aux deux types de forêts résiduelles se compose ainsi :</w:t>
      </w:r>
    </w:p>
    <w:p w:rsidR="00CE5299" w:rsidRDefault="00CE5299" w:rsidP="00CE5299">
      <w:pPr>
        <w:numPr>
          <w:ilvl w:val="0"/>
          <w:numId w:val="12"/>
        </w:numPr>
        <w:autoSpaceDE w:val="0"/>
        <w:autoSpaceDN w:val="0"/>
        <w:adjustRightInd w:val="0"/>
        <w:spacing w:before="120" w:after="120" w:line="276" w:lineRule="auto"/>
        <w:ind w:right="-108"/>
        <w:jc w:val="both"/>
        <w:rPr>
          <w:shd w:val="clear" w:color="auto" w:fill="FFFFFF"/>
        </w:rPr>
      </w:pPr>
      <w:r>
        <w:rPr>
          <w:shd w:val="clear" w:color="auto" w:fill="FFFFFF"/>
        </w:rPr>
        <w:t>20 % des forêts résiduelles sont des forêts résiduelles de moins de 5 ha ;</w:t>
      </w:r>
    </w:p>
    <w:p w:rsidR="00CE5299" w:rsidRDefault="00CE5299" w:rsidP="00CE5299">
      <w:pPr>
        <w:numPr>
          <w:ilvl w:val="0"/>
          <w:numId w:val="12"/>
        </w:numPr>
        <w:autoSpaceDE w:val="0"/>
        <w:autoSpaceDN w:val="0"/>
        <w:adjustRightInd w:val="0"/>
        <w:spacing w:before="120" w:after="120" w:line="276" w:lineRule="auto"/>
        <w:ind w:right="-108"/>
        <w:jc w:val="both"/>
        <w:rPr>
          <w:shd w:val="clear" w:color="auto" w:fill="FFFFFF"/>
        </w:rPr>
      </w:pPr>
      <w:r>
        <w:rPr>
          <w:shd w:val="clear" w:color="auto" w:fill="FFFFFF"/>
        </w:rPr>
        <w:t>35% entre  5,1 à 50 ha ; et</w:t>
      </w:r>
    </w:p>
    <w:p w:rsidR="00CE5299" w:rsidRPr="00961AF5" w:rsidRDefault="00CE5299" w:rsidP="00CE5299">
      <w:pPr>
        <w:numPr>
          <w:ilvl w:val="0"/>
          <w:numId w:val="12"/>
        </w:numPr>
        <w:autoSpaceDE w:val="0"/>
        <w:autoSpaceDN w:val="0"/>
        <w:adjustRightInd w:val="0"/>
        <w:spacing w:before="120" w:after="120" w:line="276" w:lineRule="auto"/>
        <w:ind w:right="-108"/>
        <w:jc w:val="both"/>
        <w:rPr>
          <w:shd w:val="clear" w:color="auto" w:fill="FFFFFF"/>
        </w:rPr>
      </w:pPr>
      <w:r w:rsidRPr="00961AF5">
        <w:rPr>
          <w:shd w:val="clear" w:color="auto" w:fill="FFFFFF"/>
        </w:rPr>
        <w:t>45% sont des forêts résiduelles de plus de 50 ha</w:t>
      </w:r>
      <w:r>
        <w:rPr>
          <w:shd w:val="clear" w:color="auto" w:fill="FFFFFF"/>
        </w:rPr>
        <w:t>.</w:t>
      </w:r>
      <w:r w:rsidRPr="00961AF5">
        <w:rPr>
          <w:shd w:val="clear" w:color="auto" w:fill="FFFFFF"/>
        </w:rPr>
        <w:t xml:space="preserve">   </w:t>
      </w:r>
    </w:p>
    <w:p w:rsidR="00CE5299" w:rsidRPr="00361DA2" w:rsidRDefault="00F77507" w:rsidP="00CE5299">
      <w:pPr>
        <w:pStyle w:val="Lgende"/>
        <w:spacing w:before="120" w:after="120"/>
        <w:jc w:val="both"/>
        <w:rPr>
          <w:shd w:val="clear" w:color="auto" w:fill="FFFFFF"/>
        </w:rPr>
      </w:pPr>
      <w:bookmarkStart w:id="21" w:name="_Ref330987122"/>
      <w:bookmarkStart w:id="22" w:name="_Toc421716919"/>
      <w:r>
        <w:br w:type="page"/>
      </w:r>
      <w:bookmarkStart w:id="23" w:name="_Toc484513481"/>
      <w:r w:rsidR="00CE5299" w:rsidRPr="00361DA2">
        <w:t xml:space="preserve">Tableau </w:t>
      </w:r>
      <w:r w:rsidR="00FD33B5">
        <w:fldChar w:fldCharType="begin"/>
      </w:r>
      <w:r w:rsidR="00FD33B5">
        <w:instrText xml:space="preserve"> SEQ Tableau \* ARABIC </w:instrText>
      </w:r>
      <w:r w:rsidR="00FD33B5">
        <w:fldChar w:fldCharType="separate"/>
      </w:r>
      <w:r w:rsidR="00241D60">
        <w:rPr>
          <w:noProof/>
        </w:rPr>
        <w:t>1</w:t>
      </w:r>
      <w:r w:rsidR="00FD33B5">
        <w:rPr>
          <w:noProof/>
        </w:rPr>
        <w:fldChar w:fldCharType="end"/>
      </w:r>
      <w:bookmarkEnd w:id="21"/>
      <w:r w:rsidR="00CE5299" w:rsidRPr="00361DA2">
        <w:t xml:space="preserve">. Pourcentage suggéré de </w:t>
      </w:r>
      <w:r w:rsidR="00CE5299" w:rsidRPr="00831281">
        <w:t>superficies résiduelles (îlots, péninsules, tiges individuelles) à conserver suivant une coupe selon le type de couvert (traduit de OMNR, 2001)</w:t>
      </w:r>
      <w:bookmarkEnd w:id="22"/>
      <w:bookmarkEnd w:id="23"/>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417"/>
        <w:gridCol w:w="1418"/>
        <w:gridCol w:w="2268"/>
      </w:tblGrid>
      <w:tr w:rsidR="00CE5299" w:rsidRPr="00361DA2" w:rsidTr="00F77507">
        <w:tc>
          <w:tcPr>
            <w:tcW w:w="3794" w:type="dxa"/>
            <w:shd w:val="clear" w:color="auto" w:fill="auto"/>
            <w:vAlign w:val="center"/>
          </w:tcPr>
          <w:p w:rsidR="00CE5299" w:rsidRPr="00361DA2" w:rsidRDefault="00CE5299" w:rsidP="00CE5299">
            <w:pPr>
              <w:autoSpaceDE w:val="0"/>
              <w:autoSpaceDN w:val="0"/>
              <w:adjustRightInd w:val="0"/>
              <w:spacing w:before="120" w:after="120"/>
              <w:jc w:val="both"/>
              <w:rPr>
                <w:b/>
                <w:sz w:val="20"/>
                <w:szCs w:val="20"/>
                <w:shd w:val="clear" w:color="auto" w:fill="FFFFFF"/>
              </w:rPr>
            </w:pPr>
            <w:r w:rsidRPr="00361DA2">
              <w:rPr>
                <w:b/>
                <w:sz w:val="20"/>
                <w:szCs w:val="20"/>
                <w:shd w:val="clear" w:color="auto" w:fill="FFFFFF"/>
              </w:rPr>
              <w:t>Type de couvert</w:t>
            </w:r>
          </w:p>
        </w:tc>
        <w:tc>
          <w:tcPr>
            <w:tcW w:w="1417" w:type="dxa"/>
            <w:shd w:val="clear" w:color="auto" w:fill="auto"/>
            <w:vAlign w:val="center"/>
          </w:tcPr>
          <w:p w:rsidR="00CE5299" w:rsidRPr="00361DA2" w:rsidRDefault="00CE5299" w:rsidP="00CE5299">
            <w:pPr>
              <w:autoSpaceDE w:val="0"/>
              <w:autoSpaceDN w:val="0"/>
              <w:adjustRightInd w:val="0"/>
              <w:spacing w:before="120" w:after="120"/>
              <w:jc w:val="both"/>
              <w:rPr>
                <w:b/>
                <w:sz w:val="20"/>
                <w:szCs w:val="20"/>
                <w:shd w:val="clear" w:color="auto" w:fill="FFFFFF"/>
              </w:rPr>
            </w:pPr>
            <w:r w:rsidRPr="00361DA2">
              <w:rPr>
                <w:b/>
                <w:sz w:val="20"/>
                <w:szCs w:val="20"/>
                <w:shd w:val="clear" w:color="auto" w:fill="FFFFFF"/>
              </w:rPr>
              <w:t xml:space="preserve">Îlots résiduels </w:t>
            </w:r>
          </w:p>
          <w:p w:rsidR="00CE5299" w:rsidRPr="00361DA2" w:rsidRDefault="00CE5299" w:rsidP="00CE5299">
            <w:pPr>
              <w:autoSpaceDE w:val="0"/>
              <w:autoSpaceDN w:val="0"/>
              <w:adjustRightInd w:val="0"/>
              <w:spacing w:before="120" w:after="120"/>
              <w:jc w:val="both"/>
              <w:rPr>
                <w:b/>
                <w:sz w:val="20"/>
                <w:szCs w:val="20"/>
                <w:shd w:val="clear" w:color="auto" w:fill="FFFFFF"/>
              </w:rPr>
            </w:pPr>
            <w:r w:rsidRPr="00361DA2">
              <w:rPr>
                <w:b/>
                <w:sz w:val="20"/>
                <w:szCs w:val="20"/>
                <w:shd w:val="clear" w:color="auto" w:fill="FFFFFF"/>
              </w:rPr>
              <w:t>(%)</w:t>
            </w:r>
          </w:p>
        </w:tc>
        <w:tc>
          <w:tcPr>
            <w:tcW w:w="1418" w:type="dxa"/>
            <w:shd w:val="clear" w:color="auto" w:fill="auto"/>
            <w:vAlign w:val="center"/>
          </w:tcPr>
          <w:p w:rsidR="00CE5299" w:rsidRPr="00361DA2" w:rsidRDefault="00CE5299" w:rsidP="00CE5299">
            <w:pPr>
              <w:autoSpaceDE w:val="0"/>
              <w:autoSpaceDN w:val="0"/>
              <w:adjustRightInd w:val="0"/>
              <w:spacing w:before="120" w:after="120"/>
              <w:jc w:val="both"/>
              <w:rPr>
                <w:b/>
                <w:sz w:val="20"/>
                <w:szCs w:val="20"/>
                <w:shd w:val="clear" w:color="auto" w:fill="FFFFFF"/>
              </w:rPr>
            </w:pPr>
            <w:r w:rsidRPr="00361DA2">
              <w:rPr>
                <w:b/>
                <w:sz w:val="20"/>
                <w:szCs w:val="20"/>
                <w:shd w:val="clear" w:color="auto" w:fill="FFFFFF"/>
              </w:rPr>
              <w:t xml:space="preserve">Péninsules résiduelles </w:t>
            </w:r>
          </w:p>
          <w:p w:rsidR="00CE5299" w:rsidRPr="00361DA2" w:rsidRDefault="00CE5299" w:rsidP="00CE5299">
            <w:pPr>
              <w:autoSpaceDE w:val="0"/>
              <w:autoSpaceDN w:val="0"/>
              <w:adjustRightInd w:val="0"/>
              <w:spacing w:before="120" w:after="120"/>
              <w:jc w:val="both"/>
              <w:rPr>
                <w:b/>
                <w:sz w:val="20"/>
                <w:szCs w:val="20"/>
                <w:shd w:val="clear" w:color="auto" w:fill="FFFFFF"/>
              </w:rPr>
            </w:pPr>
            <w:r w:rsidRPr="00361DA2">
              <w:rPr>
                <w:b/>
                <w:sz w:val="20"/>
                <w:szCs w:val="20"/>
                <w:shd w:val="clear" w:color="auto" w:fill="FFFFFF"/>
              </w:rPr>
              <w:t>(%)</w:t>
            </w:r>
          </w:p>
        </w:tc>
        <w:tc>
          <w:tcPr>
            <w:tcW w:w="2268" w:type="dxa"/>
            <w:shd w:val="clear" w:color="auto" w:fill="auto"/>
            <w:vAlign w:val="center"/>
          </w:tcPr>
          <w:p w:rsidR="00CE5299" w:rsidRPr="00361DA2" w:rsidRDefault="00CE5299" w:rsidP="00CE5299">
            <w:pPr>
              <w:autoSpaceDE w:val="0"/>
              <w:autoSpaceDN w:val="0"/>
              <w:adjustRightInd w:val="0"/>
              <w:spacing w:before="120" w:after="120"/>
              <w:jc w:val="both"/>
              <w:rPr>
                <w:b/>
                <w:sz w:val="20"/>
                <w:szCs w:val="20"/>
                <w:shd w:val="clear" w:color="auto" w:fill="FFFFFF"/>
              </w:rPr>
            </w:pPr>
            <w:r w:rsidRPr="00361DA2">
              <w:rPr>
                <w:b/>
                <w:sz w:val="20"/>
                <w:szCs w:val="20"/>
                <w:shd w:val="clear" w:color="auto" w:fill="FFFFFF"/>
              </w:rPr>
              <w:t>Arbres individuels vivants ou morts sur pied (arbres/ha)</w:t>
            </w:r>
          </w:p>
        </w:tc>
      </w:tr>
      <w:tr w:rsidR="00CE5299" w:rsidRPr="00361DA2" w:rsidTr="00F77507">
        <w:tc>
          <w:tcPr>
            <w:tcW w:w="3794" w:type="dxa"/>
            <w:shd w:val="clear" w:color="auto" w:fill="auto"/>
          </w:tcPr>
          <w:p w:rsidR="00CE5299" w:rsidRPr="00361DA2" w:rsidRDefault="00CE5299" w:rsidP="00CE5299">
            <w:pPr>
              <w:autoSpaceDE w:val="0"/>
              <w:autoSpaceDN w:val="0"/>
              <w:adjustRightInd w:val="0"/>
              <w:spacing w:before="120" w:after="120"/>
              <w:jc w:val="both"/>
              <w:rPr>
                <w:sz w:val="20"/>
                <w:szCs w:val="20"/>
                <w:shd w:val="clear" w:color="auto" w:fill="FFFFFF"/>
              </w:rPr>
            </w:pPr>
            <w:r w:rsidRPr="00361DA2">
              <w:rPr>
                <w:sz w:val="20"/>
                <w:szCs w:val="20"/>
                <w:shd w:val="clear" w:color="auto" w:fill="FFFFFF"/>
              </w:rPr>
              <w:t>Résineux - Hautes terres (Épinette, Pig, Sab)</w:t>
            </w:r>
          </w:p>
        </w:tc>
        <w:tc>
          <w:tcPr>
            <w:tcW w:w="1417" w:type="dxa"/>
            <w:shd w:val="clear" w:color="auto" w:fill="auto"/>
            <w:vAlign w:val="center"/>
          </w:tcPr>
          <w:p w:rsidR="00CE5299" w:rsidRPr="00361DA2" w:rsidRDefault="00CE5299" w:rsidP="00CE5299">
            <w:pPr>
              <w:autoSpaceDE w:val="0"/>
              <w:autoSpaceDN w:val="0"/>
              <w:adjustRightInd w:val="0"/>
              <w:spacing w:before="120" w:after="120"/>
              <w:jc w:val="both"/>
              <w:rPr>
                <w:sz w:val="20"/>
                <w:szCs w:val="20"/>
                <w:shd w:val="clear" w:color="auto" w:fill="FFFFFF"/>
              </w:rPr>
            </w:pPr>
            <w:r w:rsidRPr="00361DA2">
              <w:rPr>
                <w:sz w:val="20"/>
                <w:szCs w:val="20"/>
                <w:shd w:val="clear" w:color="auto" w:fill="FFFFFF"/>
              </w:rPr>
              <w:t>2%</w:t>
            </w:r>
          </w:p>
        </w:tc>
        <w:tc>
          <w:tcPr>
            <w:tcW w:w="1418" w:type="dxa"/>
            <w:shd w:val="clear" w:color="auto" w:fill="auto"/>
            <w:vAlign w:val="center"/>
          </w:tcPr>
          <w:p w:rsidR="00CE5299" w:rsidRPr="00361DA2" w:rsidRDefault="00CE5299" w:rsidP="00CE5299">
            <w:pPr>
              <w:autoSpaceDE w:val="0"/>
              <w:autoSpaceDN w:val="0"/>
              <w:adjustRightInd w:val="0"/>
              <w:spacing w:before="120" w:after="120"/>
              <w:jc w:val="both"/>
              <w:rPr>
                <w:sz w:val="20"/>
                <w:szCs w:val="20"/>
                <w:shd w:val="clear" w:color="auto" w:fill="FFFFFF"/>
              </w:rPr>
            </w:pPr>
            <w:r w:rsidRPr="00361DA2">
              <w:rPr>
                <w:sz w:val="20"/>
                <w:szCs w:val="20"/>
                <w:shd w:val="clear" w:color="auto" w:fill="FFFFFF"/>
              </w:rPr>
              <w:t>8%</w:t>
            </w:r>
          </w:p>
        </w:tc>
        <w:tc>
          <w:tcPr>
            <w:tcW w:w="2268" w:type="dxa"/>
            <w:vMerge w:val="restart"/>
            <w:shd w:val="clear" w:color="auto" w:fill="auto"/>
            <w:vAlign w:val="center"/>
          </w:tcPr>
          <w:p w:rsidR="00CE5299" w:rsidRPr="00361DA2" w:rsidRDefault="00CE5299" w:rsidP="00CE5299">
            <w:pPr>
              <w:autoSpaceDE w:val="0"/>
              <w:autoSpaceDN w:val="0"/>
              <w:adjustRightInd w:val="0"/>
              <w:spacing w:before="120" w:after="120"/>
              <w:ind w:right="176"/>
              <w:jc w:val="both"/>
              <w:rPr>
                <w:sz w:val="20"/>
                <w:szCs w:val="20"/>
                <w:shd w:val="clear" w:color="auto" w:fill="FFFFFF"/>
              </w:rPr>
            </w:pPr>
            <w:r w:rsidRPr="00361DA2">
              <w:rPr>
                <w:sz w:val="20"/>
                <w:szCs w:val="20"/>
                <w:shd w:val="clear" w:color="auto" w:fill="FFFFFF"/>
              </w:rPr>
              <w:t>Au moins 6 gros arbres vivants à fort potentiel de cavité ; 25 arbres au total</w:t>
            </w:r>
          </w:p>
        </w:tc>
      </w:tr>
      <w:tr w:rsidR="00CE5299" w:rsidRPr="00361DA2" w:rsidTr="00F77507">
        <w:tc>
          <w:tcPr>
            <w:tcW w:w="3794" w:type="dxa"/>
            <w:shd w:val="clear" w:color="auto" w:fill="auto"/>
          </w:tcPr>
          <w:p w:rsidR="00CE5299" w:rsidRPr="00361DA2" w:rsidRDefault="00CE5299" w:rsidP="00CE5299">
            <w:pPr>
              <w:autoSpaceDE w:val="0"/>
              <w:autoSpaceDN w:val="0"/>
              <w:adjustRightInd w:val="0"/>
              <w:spacing w:before="120" w:after="120"/>
              <w:jc w:val="both"/>
              <w:rPr>
                <w:sz w:val="20"/>
                <w:szCs w:val="20"/>
                <w:shd w:val="clear" w:color="auto" w:fill="FFFFFF"/>
              </w:rPr>
            </w:pPr>
            <w:r w:rsidRPr="00361DA2">
              <w:rPr>
                <w:sz w:val="20"/>
                <w:szCs w:val="20"/>
                <w:shd w:val="clear" w:color="auto" w:fill="FFFFFF"/>
              </w:rPr>
              <w:t>Résineux – Basses terres (Épinette, Tho, Mel)</w:t>
            </w:r>
          </w:p>
        </w:tc>
        <w:tc>
          <w:tcPr>
            <w:tcW w:w="1417" w:type="dxa"/>
            <w:shd w:val="clear" w:color="auto" w:fill="auto"/>
            <w:vAlign w:val="center"/>
          </w:tcPr>
          <w:p w:rsidR="00CE5299" w:rsidRPr="00361DA2" w:rsidRDefault="00CE5299" w:rsidP="00CE5299">
            <w:pPr>
              <w:autoSpaceDE w:val="0"/>
              <w:autoSpaceDN w:val="0"/>
              <w:adjustRightInd w:val="0"/>
              <w:spacing w:before="120" w:after="120"/>
              <w:jc w:val="both"/>
              <w:rPr>
                <w:sz w:val="20"/>
                <w:szCs w:val="20"/>
                <w:shd w:val="clear" w:color="auto" w:fill="FFFFFF"/>
              </w:rPr>
            </w:pPr>
            <w:r w:rsidRPr="00361DA2">
              <w:rPr>
                <w:sz w:val="20"/>
                <w:szCs w:val="20"/>
                <w:shd w:val="clear" w:color="auto" w:fill="FFFFFF"/>
              </w:rPr>
              <w:t>4%</w:t>
            </w:r>
          </w:p>
        </w:tc>
        <w:tc>
          <w:tcPr>
            <w:tcW w:w="1418" w:type="dxa"/>
            <w:shd w:val="clear" w:color="auto" w:fill="auto"/>
            <w:vAlign w:val="center"/>
          </w:tcPr>
          <w:p w:rsidR="00CE5299" w:rsidRPr="00361DA2" w:rsidRDefault="00CE5299" w:rsidP="00CE5299">
            <w:pPr>
              <w:autoSpaceDE w:val="0"/>
              <w:autoSpaceDN w:val="0"/>
              <w:adjustRightInd w:val="0"/>
              <w:spacing w:before="120" w:after="120"/>
              <w:jc w:val="both"/>
              <w:rPr>
                <w:sz w:val="20"/>
                <w:szCs w:val="20"/>
                <w:shd w:val="clear" w:color="auto" w:fill="FFFFFF"/>
              </w:rPr>
            </w:pPr>
            <w:r w:rsidRPr="00361DA2">
              <w:rPr>
                <w:sz w:val="20"/>
                <w:szCs w:val="20"/>
                <w:shd w:val="clear" w:color="auto" w:fill="FFFFFF"/>
              </w:rPr>
              <w:t>16%</w:t>
            </w:r>
          </w:p>
        </w:tc>
        <w:tc>
          <w:tcPr>
            <w:tcW w:w="2268" w:type="dxa"/>
            <w:vMerge/>
            <w:shd w:val="clear" w:color="auto" w:fill="auto"/>
          </w:tcPr>
          <w:p w:rsidR="00CE5299" w:rsidRPr="00361DA2" w:rsidRDefault="00CE5299" w:rsidP="00CE5299">
            <w:pPr>
              <w:autoSpaceDE w:val="0"/>
              <w:autoSpaceDN w:val="0"/>
              <w:adjustRightInd w:val="0"/>
              <w:spacing w:before="120" w:after="120"/>
              <w:jc w:val="both"/>
              <w:rPr>
                <w:shd w:val="clear" w:color="auto" w:fill="FFFFFF"/>
              </w:rPr>
            </w:pPr>
          </w:p>
        </w:tc>
      </w:tr>
      <w:tr w:rsidR="00CE5299" w:rsidRPr="00361DA2" w:rsidTr="00F77507">
        <w:tc>
          <w:tcPr>
            <w:tcW w:w="3794" w:type="dxa"/>
            <w:shd w:val="clear" w:color="auto" w:fill="auto"/>
          </w:tcPr>
          <w:p w:rsidR="00CE5299" w:rsidRPr="00361DA2" w:rsidRDefault="00CE5299" w:rsidP="00CE5299">
            <w:pPr>
              <w:autoSpaceDE w:val="0"/>
              <w:autoSpaceDN w:val="0"/>
              <w:adjustRightInd w:val="0"/>
              <w:spacing w:before="120" w:after="120"/>
              <w:jc w:val="both"/>
              <w:rPr>
                <w:sz w:val="20"/>
                <w:szCs w:val="20"/>
                <w:shd w:val="clear" w:color="auto" w:fill="FFFFFF"/>
              </w:rPr>
            </w:pPr>
            <w:r w:rsidRPr="00361DA2">
              <w:rPr>
                <w:sz w:val="20"/>
                <w:szCs w:val="20"/>
                <w:shd w:val="clear" w:color="auto" w:fill="FFFFFF"/>
              </w:rPr>
              <w:t>Mélangé – Hautes terres (Épinette, Pig, Sab, Peuplier, Bop)</w:t>
            </w:r>
          </w:p>
        </w:tc>
        <w:tc>
          <w:tcPr>
            <w:tcW w:w="1417" w:type="dxa"/>
            <w:shd w:val="clear" w:color="auto" w:fill="auto"/>
            <w:vAlign w:val="center"/>
          </w:tcPr>
          <w:p w:rsidR="00CE5299" w:rsidRPr="00361DA2" w:rsidRDefault="00CE5299" w:rsidP="00CE5299">
            <w:pPr>
              <w:autoSpaceDE w:val="0"/>
              <w:autoSpaceDN w:val="0"/>
              <w:adjustRightInd w:val="0"/>
              <w:spacing w:before="120" w:after="120"/>
              <w:jc w:val="both"/>
              <w:rPr>
                <w:sz w:val="20"/>
                <w:szCs w:val="20"/>
                <w:shd w:val="clear" w:color="auto" w:fill="FFFFFF"/>
              </w:rPr>
            </w:pPr>
            <w:r w:rsidRPr="00361DA2">
              <w:rPr>
                <w:sz w:val="20"/>
                <w:szCs w:val="20"/>
                <w:shd w:val="clear" w:color="auto" w:fill="FFFFFF"/>
              </w:rPr>
              <w:t>6%</w:t>
            </w:r>
          </w:p>
        </w:tc>
        <w:tc>
          <w:tcPr>
            <w:tcW w:w="1418" w:type="dxa"/>
            <w:shd w:val="clear" w:color="auto" w:fill="auto"/>
            <w:vAlign w:val="center"/>
          </w:tcPr>
          <w:p w:rsidR="00CE5299" w:rsidRPr="00361DA2" w:rsidRDefault="00CE5299" w:rsidP="00CE5299">
            <w:pPr>
              <w:autoSpaceDE w:val="0"/>
              <w:autoSpaceDN w:val="0"/>
              <w:adjustRightInd w:val="0"/>
              <w:spacing w:before="120" w:after="120"/>
              <w:jc w:val="both"/>
              <w:rPr>
                <w:sz w:val="20"/>
                <w:szCs w:val="20"/>
                <w:shd w:val="clear" w:color="auto" w:fill="FFFFFF"/>
              </w:rPr>
            </w:pPr>
            <w:r w:rsidRPr="00361DA2">
              <w:rPr>
                <w:sz w:val="20"/>
                <w:szCs w:val="20"/>
                <w:shd w:val="clear" w:color="auto" w:fill="FFFFFF"/>
              </w:rPr>
              <w:t>24%</w:t>
            </w:r>
          </w:p>
        </w:tc>
        <w:tc>
          <w:tcPr>
            <w:tcW w:w="2268" w:type="dxa"/>
            <w:vMerge/>
            <w:shd w:val="clear" w:color="auto" w:fill="auto"/>
          </w:tcPr>
          <w:p w:rsidR="00CE5299" w:rsidRPr="00361DA2" w:rsidRDefault="00CE5299" w:rsidP="00CE5299">
            <w:pPr>
              <w:autoSpaceDE w:val="0"/>
              <w:autoSpaceDN w:val="0"/>
              <w:adjustRightInd w:val="0"/>
              <w:spacing w:before="120" w:after="120"/>
              <w:jc w:val="both"/>
              <w:rPr>
                <w:shd w:val="clear" w:color="auto" w:fill="FFFFFF"/>
              </w:rPr>
            </w:pPr>
          </w:p>
        </w:tc>
      </w:tr>
      <w:tr w:rsidR="00CE5299" w:rsidRPr="00361DA2" w:rsidTr="00F77507">
        <w:tc>
          <w:tcPr>
            <w:tcW w:w="3794" w:type="dxa"/>
            <w:shd w:val="clear" w:color="auto" w:fill="auto"/>
          </w:tcPr>
          <w:p w:rsidR="00CE5299" w:rsidRPr="00361DA2" w:rsidRDefault="00CE5299" w:rsidP="00CE5299">
            <w:pPr>
              <w:autoSpaceDE w:val="0"/>
              <w:autoSpaceDN w:val="0"/>
              <w:adjustRightInd w:val="0"/>
              <w:spacing w:before="120" w:after="120"/>
              <w:jc w:val="both"/>
              <w:rPr>
                <w:sz w:val="20"/>
                <w:szCs w:val="20"/>
                <w:shd w:val="clear" w:color="auto" w:fill="FFFFFF"/>
              </w:rPr>
            </w:pPr>
            <w:r w:rsidRPr="00361DA2">
              <w:rPr>
                <w:sz w:val="20"/>
                <w:szCs w:val="20"/>
                <w:shd w:val="clear" w:color="auto" w:fill="FFFFFF"/>
              </w:rPr>
              <w:t>Feuillu intolérant (Peuplier, Bop)</w:t>
            </w:r>
          </w:p>
        </w:tc>
        <w:tc>
          <w:tcPr>
            <w:tcW w:w="1417" w:type="dxa"/>
            <w:shd w:val="clear" w:color="auto" w:fill="auto"/>
            <w:vAlign w:val="center"/>
          </w:tcPr>
          <w:p w:rsidR="00CE5299" w:rsidRPr="00361DA2" w:rsidRDefault="00CE5299" w:rsidP="00CE5299">
            <w:pPr>
              <w:autoSpaceDE w:val="0"/>
              <w:autoSpaceDN w:val="0"/>
              <w:adjustRightInd w:val="0"/>
              <w:spacing w:before="120" w:after="120"/>
              <w:jc w:val="both"/>
              <w:rPr>
                <w:sz w:val="20"/>
                <w:szCs w:val="20"/>
                <w:shd w:val="clear" w:color="auto" w:fill="FFFFFF"/>
              </w:rPr>
            </w:pPr>
            <w:r w:rsidRPr="00361DA2">
              <w:rPr>
                <w:sz w:val="20"/>
                <w:szCs w:val="20"/>
                <w:shd w:val="clear" w:color="auto" w:fill="FFFFFF"/>
              </w:rPr>
              <w:t>7%</w:t>
            </w:r>
          </w:p>
        </w:tc>
        <w:tc>
          <w:tcPr>
            <w:tcW w:w="1418" w:type="dxa"/>
            <w:shd w:val="clear" w:color="auto" w:fill="auto"/>
            <w:vAlign w:val="center"/>
          </w:tcPr>
          <w:p w:rsidR="00CE5299" w:rsidRPr="00361DA2" w:rsidRDefault="00CE5299" w:rsidP="00CE5299">
            <w:pPr>
              <w:autoSpaceDE w:val="0"/>
              <w:autoSpaceDN w:val="0"/>
              <w:adjustRightInd w:val="0"/>
              <w:spacing w:before="120" w:after="120"/>
              <w:jc w:val="both"/>
              <w:rPr>
                <w:sz w:val="20"/>
                <w:szCs w:val="20"/>
                <w:shd w:val="clear" w:color="auto" w:fill="FFFFFF"/>
              </w:rPr>
            </w:pPr>
            <w:r w:rsidRPr="00361DA2">
              <w:rPr>
                <w:sz w:val="20"/>
                <w:szCs w:val="20"/>
                <w:shd w:val="clear" w:color="auto" w:fill="FFFFFF"/>
              </w:rPr>
              <w:t>27%</w:t>
            </w:r>
          </w:p>
        </w:tc>
        <w:tc>
          <w:tcPr>
            <w:tcW w:w="2268" w:type="dxa"/>
            <w:vMerge/>
            <w:shd w:val="clear" w:color="auto" w:fill="auto"/>
          </w:tcPr>
          <w:p w:rsidR="00CE5299" w:rsidRPr="00361DA2" w:rsidRDefault="00CE5299" w:rsidP="00CE5299">
            <w:pPr>
              <w:autoSpaceDE w:val="0"/>
              <w:autoSpaceDN w:val="0"/>
              <w:adjustRightInd w:val="0"/>
              <w:spacing w:before="120" w:after="120"/>
              <w:jc w:val="both"/>
              <w:rPr>
                <w:shd w:val="clear" w:color="auto" w:fill="FFFFFF"/>
              </w:rPr>
            </w:pPr>
          </w:p>
        </w:tc>
      </w:tr>
      <w:tr w:rsidR="00CE5299" w:rsidRPr="00361DA2" w:rsidTr="00F77507">
        <w:tc>
          <w:tcPr>
            <w:tcW w:w="3794" w:type="dxa"/>
            <w:shd w:val="clear" w:color="auto" w:fill="auto"/>
          </w:tcPr>
          <w:p w:rsidR="00CE5299" w:rsidRPr="00361DA2" w:rsidRDefault="00CE5299" w:rsidP="00CE5299">
            <w:pPr>
              <w:autoSpaceDE w:val="0"/>
              <w:autoSpaceDN w:val="0"/>
              <w:adjustRightInd w:val="0"/>
              <w:spacing w:before="120" w:after="120"/>
              <w:jc w:val="both"/>
              <w:rPr>
                <w:sz w:val="20"/>
                <w:szCs w:val="20"/>
                <w:shd w:val="clear" w:color="auto" w:fill="FFFFFF"/>
              </w:rPr>
            </w:pPr>
            <w:r w:rsidRPr="00361DA2">
              <w:rPr>
                <w:sz w:val="20"/>
                <w:szCs w:val="20"/>
                <w:shd w:val="clear" w:color="auto" w:fill="FFFFFF"/>
              </w:rPr>
              <w:t xml:space="preserve">Feuillu tolérant </w:t>
            </w:r>
          </w:p>
          <w:p w:rsidR="00CE5299" w:rsidRPr="00361DA2" w:rsidRDefault="00CE5299" w:rsidP="00CE5299">
            <w:pPr>
              <w:autoSpaceDE w:val="0"/>
              <w:autoSpaceDN w:val="0"/>
              <w:adjustRightInd w:val="0"/>
              <w:spacing w:before="120" w:after="120"/>
              <w:jc w:val="both"/>
              <w:rPr>
                <w:sz w:val="20"/>
                <w:szCs w:val="20"/>
                <w:shd w:val="clear" w:color="auto" w:fill="FFFFFF"/>
              </w:rPr>
            </w:pPr>
            <w:r w:rsidRPr="00361DA2">
              <w:rPr>
                <w:sz w:val="20"/>
                <w:szCs w:val="20"/>
                <w:shd w:val="clear" w:color="auto" w:fill="FFFFFF"/>
              </w:rPr>
              <w:t>(Ers, Heg, Chêne)</w:t>
            </w:r>
          </w:p>
        </w:tc>
        <w:tc>
          <w:tcPr>
            <w:tcW w:w="1417" w:type="dxa"/>
            <w:shd w:val="clear" w:color="auto" w:fill="auto"/>
            <w:vAlign w:val="center"/>
          </w:tcPr>
          <w:p w:rsidR="00CE5299" w:rsidRPr="00361DA2" w:rsidRDefault="00CE5299" w:rsidP="00CE5299">
            <w:pPr>
              <w:autoSpaceDE w:val="0"/>
              <w:autoSpaceDN w:val="0"/>
              <w:adjustRightInd w:val="0"/>
              <w:spacing w:before="120" w:after="120"/>
              <w:jc w:val="both"/>
              <w:rPr>
                <w:sz w:val="20"/>
                <w:szCs w:val="20"/>
                <w:shd w:val="clear" w:color="auto" w:fill="FFFFFF"/>
              </w:rPr>
            </w:pPr>
            <w:r w:rsidRPr="00361DA2">
              <w:rPr>
                <w:sz w:val="20"/>
                <w:szCs w:val="20"/>
                <w:shd w:val="clear" w:color="auto" w:fill="FFFFFF"/>
              </w:rPr>
              <w:t>8%</w:t>
            </w:r>
          </w:p>
        </w:tc>
        <w:tc>
          <w:tcPr>
            <w:tcW w:w="1418" w:type="dxa"/>
            <w:shd w:val="clear" w:color="auto" w:fill="auto"/>
            <w:vAlign w:val="center"/>
          </w:tcPr>
          <w:p w:rsidR="00CE5299" w:rsidRPr="00361DA2" w:rsidRDefault="00CE5299" w:rsidP="00CE5299">
            <w:pPr>
              <w:autoSpaceDE w:val="0"/>
              <w:autoSpaceDN w:val="0"/>
              <w:adjustRightInd w:val="0"/>
              <w:spacing w:before="120" w:after="120"/>
              <w:jc w:val="both"/>
              <w:rPr>
                <w:sz w:val="20"/>
                <w:szCs w:val="20"/>
                <w:shd w:val="clear" w:color="auto" w:fill="FFFFFF"/>
              </w:rPr>
            </w:pPr>
            <w:r w:rsidRPr="00361DA2">
              <w:rPr>
                <w:sz w:val="20"/>
                <w:szCs w:val="20"/>
                <w:shd w:val="clear" w:color="auto" w:fill="FFFFFF"/>
              </w:rPr>
              <w:t>28%</w:t>
            </w:r>
          </w:p>
        </w:tc>
        <w:tc>
          <w:tcPr>
            <w:tcW w:w="2268" w:type="dxa"/>
            <w:vMerge/>
            <w:shd w:val="clear" w:color="auto" w:fill="auto"/>
          </w:tcPr>
          <w:p w:rsidR="00CE5299" w:rsidRPr="00361DA2" w:rsidRDefault="00CE5299" w:rsidP="00CE5299">
            <w:pPr>
              <w:autoSpaceDE w:val="0"/>
              <w:autoSpaceDN w:val="0"/>
              <w:adjustRightInd w:val="0"/>
              <w:spacing w:before="120" w:after="120"/>
              <w:jc w:val="both"/>
              <w:rPr>
                <w:shd w:val="clear" w:color="auto" w:fill="FFFFFF"/>
              </w:rPr>
            </w:pPr>
          </w:p>
        </w:tc>
      </w:tr>
      <w:tr w:rsidR="00CE5299" w:rsidRPr="00361DA2" w:rsidTr="00F77507">
        <w:tc>
          <w:tcPr>
            <w:tcW w:w="3794" w:type="dxa"/>
            <w:shd w:val="clear" w:color="auto" w:fill="auto"/>
          </w:tcPr>
          <w:p w:rsidR="00CE5299" w:rsidRPr="00361DA2" w:rsidRDefault="00CE5299" w:rsidP="00CE5299">
            <w:pPr>
              <w:autoSpaceDE w:val="0"/>
              <w:autoSpaceDN w:val="0"/>
              <w:adjustRightInd w:val="0"/>
              <w:spacing w:before="120" w:after="120"/>
              <w:jc w:val="both"/>
              <w:rPr>
                <w:sz w:val="20"/>
                <w:szCs w:val="20"/>
                <w:shd w:val="clear" w:color="auto" w:fill="FFFFFF"/>
              </w:rPr>
            </w:pPr>
            <w:r w:rsidRPr="00361DA2">
              <w:rPr>
                <w:sz w:val="20"/>
                <w:szCs w:val="20"/>
                <w:shd w:val="clear" w:color="auto" w:fill="FFFFFF"/>
              </w:rPr>
              <w:t xml:space="preserve">Pins GL-SL </w:t>
            </w:r>
          </w:p>
          <w:p w:rsidR="00CE5299" w:rsidRPr="00361DA2" w:rsidRDefault="00CE5299" w:rsidP="00CE5299">
            <w:pPr>
              <w:autoSpaceDE w:val="0"/>
              <w:autoSpaceDN w:val="0"/>
              <w:adjustRightInd w:val="0"/>
              <w:spacing w:before="120" w:after="120"/>
              <w:jc w:val="both"/>
              <w:rPr>
                <w:sz w:val="20"/>
                <w:szCs w:val="20"/>
                <w:shd w:val="clear" w:color="auto" w:fill="FFFFFF"/>
              </w:rPr>
            </w:pPr>
            <w:r w:rsidRPr="00361DA2">
              <w:rPr>
                <w:sz w:val="20"/>
                <w:szCs w:val="20"/>
                <w:shd w:val="clear" w:color="auto" w:fill="FFFFFF"/>
              </w:rPr>
              <w:t>(Pib, Pir)</w:t>
            </w:r>
          </w:p>
        </w:tc>
        <w:tc>
          <w:tcPr>
            <w:tcW w:w="1417" w:type="dxa"/>
            <w:shd w:val="clear" w:color="auto" w:fill="auto"/>
            <w:vAlign w:val="center"/>
          </w:tcPr>
          <w:p w:rsidR="00CE5299" w:rsidRPr="00361DA2" w:rsidRDefault="00CE5299" w:rsidP="00CE5299">
            <w:pPr>
              <w:autoSpaceDE w:val="0"/>
              <w:autoSpaceDN w:val="0"/>
              <w:adjustRightInd w:val="0"/>
              <w:spacing w:before="120" w:after="120"/>
              <w:jc w:val="both"/>
              <w:rPr>
                <w:sz w:val="20"/>
                <w:szCs w:val="20"/>
                <w:shd w:val="clear" w:color="auto" w:fill="FFFFFF"/>
              </w:rPr>
            </w:pPr>
            <w:r w:rsidRPr="00361DA2">
              <w:rPr>
                <w:sz w:val="20"/>
                <w:szCs w:val="20"/>
                <w:shd w:val="clear" w:color="auto" w:fill="FFFFFF"/>
              </w:rPr>
              <w:t>2%</w:t>
            </w:r>
          </w:p>
        </w:tc>
        <w:tc>
          <w:tcPr>
            <w:tcW w:w="1418" w:type="dxa"/>
            <w:shd w:val="clear" w:color="auto" w:fill="auto"/>
            <w:vAlign w:val="center"/>
          </w:tcPr>
          <w:p w:rsidR="00CE5299" w:rsidRPr="00361DA2" w:rsidRDefault="00CE5299" w:rsidP="00CE5299">
            <w:pPr>
              <w:autoSpaceDE w:val="0"/>
              <w:autoSpaceDN w:val="0"/>
              <w:adjustRightInd w:val="0"/>
              <w:spacing w:before="120" w:after="120"/>
              <w:jc w:val="both"/>
              <w:rPr>
                <w:sz w:val="20"/>
                <w:szCs w:val="20"/>
                <w:shd w:val="clear" w:color="auto" w:fill="FFFFFF"/>
              </w:rPr>
            </w:pPr>
            <w:r w:rsidRPr="00361DA2">
              <w:rPr>
                <w:sz w:val="20"/>
                <w:szCs w:val="20"/>
                <w:shd w:val="clear" w:color="auto" w:fill="FFFFFF"/>
              </w:rPr>
              <w:t>8%</w:t>
            </w:r>
          </w:p>
        </w:tc>
        <w:tc>
          <w:tcPr>
            <w:tcW w:w="2268" w:type="dxa"/>
            <w:vMerge/>
            <w:shd w:val="clear" w:color="auto" w:fill="auto"/>
          </w:tcPr>
          <w:p w:rsidR="00CE5299" w:rsidRPr="00361DA2" w:rsidRDefault="00CE5299" w:rsidP="00CE5299">
            <w:pPr>
              <w:autoSpaceDE w:val="0"/>
              <w:autoSpaceDN w:val="0"/>
              <w:adjustRightInd w:val="0"/>
              <w:spacing w:before="120" w:after="120"/>
              <w:jc w:val="both"/>
              <w:rPr>
                <w:shd w:val="clear" w:color="auto" w:fill="FFFFFF"/>
              </w:rPr>
            </w:pPr>
          </w:p>
        </w:tc>
      </w:tr>
      <w:tr w:rsidR="00CE5299" w:rsidRPr="00361DA2" w:rsidTr="00F77507">
        <w:tc>
          <w:tcPr>
            <w:tcW w:w="3794" w:type="dxa"/>
            <w:shd w:val="clear" w:color="auto" w:fill="auto"/>
          </w:tcPr>
          <w:p w:rsidR="00CE5299" w:rsidRPr="00361DA2" w:rsidRDefault="00CE5299" w:rsidP="00CE5299">
            <w:pPr>
              <w:autoSpaceDE w:val="0"/>
              <w:autoSpaceDN w:val="0"/>
              <w:adjustRightInd w:val="0"/>
              <w:spacing w:before="120" w:after="120"/>
              <w:jc w:val="both"/>
              <w:rPr>
                <w:sz w:val="20"/>
                <w:szCs w:val="20"/>
                <w:shd w:val="clear" w:color="auto" w:fill="FFFFFF"/>
              </w:rPr>
            </w:pPr>
            <w:r w:rsidRPr="00361DA2">
              <w:rPr>
                <w:sz w:val="20"/>
                <w:szCs w:val="20"/>
                <w:shd w:val="clear" w:color="auto" w:fill="FFFFFF"/>
              </w:rPr>
              <w:t xml:space="preserve">Mélangé GL-SL </w:t>
            </w:r>
          </w:p>
          <w:p w:rsidR="00CE5299" w:rsidRPr="00361DA2" w:rsidRDefault="00CE5299" w:rsidP="00CE5299">
            <w:pPr>
              <w:autoSpaceDE w:val="0"/>
              <w:autoSpaceDN w:val="0"/>
              <w:adjustRightInd w:val="0"/>
              <w:spacing w:before="120" w:after="120"/>
              <w:jc w:val="both"/>
              <w:rPr>
                <w:sz w:val="20"/>
                <w:szCs w:val="20"/>
                <w:shd w:val="clear" w:color="auto" w:fill="FFFFFF"/>
              </w:rPr>
            </w:pPr>
            <w:r w:rsidRPr="00361DA2">
              <w:rPr>
                <w:sz w:val="20"/>
                <w:szCs w:val="20"/>
                <w:shd w:val="clear" w:color="auto" w:fill="FFFFFF"/>
              </w:rPr>
              <w:t>(Pin, Sapin, Mélèze, Bouleau, Chêne)</w:t>
            </w:r>
          </w:p>
        </w:tc>
        <w:tc>
          <w:tcPr>
            <w:tcW w:w="1417" w:type="dxa"/>
            <w:shd w:val="clear" w:color="auto" w:fill="auto"/>
            <w:vAlign w:val="center"/>
          </w:tcPr>
          <w:p w:rsidR="00CE5299" w:rsidRPr="00361DA2" w:rsidRDefault="00CE5299" w:rsidP="00CE5299">
            <w:pPr>
              <w:autoSpaceDE w:val="0"/>
              <w:autoSpaceDN w:val="0"/>
              <w:adjustRightInd w:val="0"/>
              <w:spacing w:before="120" w:after="120"/>
              <w:jc w:val="both"/>
              <w:rPr>
                <w:sz w:val="20"/>
                <w:szCs w:val="20"/>
                <w:shd w:val="clear" w:color="auto" w:fill="FFFFFF"/>
              </w:rPr>
            </w:pPr>
            <w:r w:rsidRPr="00361DA2">
              <w:rPr>
                <w:sz w:val="20"/>
                <w:szCs w:val="20"/>
                <w:shd w:val="clear" w:color="auto" w:fill="FFFFFF"/>
              </w:rPr>
              <w:t>5%</w:t>
            </w:r>
          </w:p>
        </w:tc>
        <w:tc>
          <w:tcPr>
            <w:tcW w:w="1418" w:type="dxa"/>
            <w:shd w:val="clear" w:color="auto" w:fill="auto"/>
            <w:vAlign w:val="center"/>
          </w:tcPr>
          <w:p w:rsidR="00CE5299" w:rsidRPr="00361DA2" w:rsidRDefault="00CE5299" w:rsidP="00CE5299">
            <w:pPr>
              <w:autoSpaceDE w:val="0"/>
              <w:autoSpaceDN w:val="0"/>
              <w:adjustRightInd w:val="0"/>
              <w:spacing w:before="120" w:after="120"/>
              <w:jc w:val="both"/>
              <w:rPr>
                <w:sz w:val="20"/>
                <w:szCs w:val="20"/>
                <w:shd w:val="clear" w:color="auto" w:fill="FFFFFF"/>
              </w:rPr>
            </w:pPr>
            <w:r w:rsidRPr="00361DA2">
              <w:rPr>
                <w:sz w:val="20"/>
                <w:szCs w:val="20"/>
                <w:shd w:val="clear" w:color="auto" w:fill="FFFFFF"/>
              </w:rPr>
              <w:t>10%</w:t>
            </w:r>
          </w:p>
        </w:tc>
        <w:tc>
          <w:tcPr>
            <w:tcW w:w="2268" w:type="dxa"/>
            <w:vMerge/>
            <w:shd w:val="clear" w:color="auto" w:fill="auto"/>
          </w:tcPr>
          <w:p w:rsidR="00CE5299" w:rsidRPr="00361DA2" w:rsidRDefault="00CE5299" w:rsidP="00CE5299">
            <w:pPr>
              <w:autoSpaceDE w:val="0"/>
              <w:autoSpaceDN w:val="0"/>
              <w:adjustRightInd w:val="0"/>
              <w:spacing w:before="120" w:after="120"/>
              <w:jc w:val="both"/>
              <w:rPr>
                <w:shd w:val="clear" w:color="auto" w:fill="FFFFFF"/>
              </w:rPr>
            </w:pPr>
          </w:p>
        </w:tc>
      </w:tr>
    </w:tbl>
    <w:p w:rsidR="00CE5299" w:rsidRDefault="00CE5299" w:rsidP="00CE5299">
      <w:pPr>
        <w:pStyle w:val="Sous-titre"/>
        <w:spacing w:before="120" w:after="120"/>
        <w:jc w:val="both"/>
        <w:rPr>
          <w:shd w:val="clear" w:color="auto" w:fill="FFFFFF"/>
        </w:rPr>
      </w:pPr>
    </w:p>
    <w:p w:rsidR="00CE5299" w:rsidRDefault="00CE5299" w:rsidP="00441B27">
      <w:pPr>
        <w:pStyle w:val="Titre4"/>
        <w:numPr>
          <w:ilvl w:val="3"/>
          <w:numId w:val="15"/>
        </w:numPr>
        <w:jc w:val="both"/>
        <w:rPr>
          <w:shd w:val="clear" w:color="auto" w:fill="FFFFFF"/>
        </w:rPr>
      </w:pPr>
      <w:r w:rsidRPr="00361DA2">
        <w:rPr>
          <w:shd w:val="clear" w:color="auto" w:fill="FFFFFF"/>
        </w:rPr>
        <w:t>Historique et récurrence des feux</w:t>
      </w:r>
    </w:p>
    <w:p w:rsidR="00441B27" w:rsidRPr="00441B27" w:rsidRDefault="00441B27" w:rsidP="00441B27"/>
    <w:p w:rsidR="00CE5299" w:rsidRPr="00361DA2" w:rsidRDefault="00CE5299" w:rsidP="00CE5299">
      <w:pPr>
        <w:spacing w:before="120" w:after="120"/>
        <w:jc w:val="both"/>
      </w:pPr>
      <w:r w:rsidRPr="00361DA2">
        <w:t>En 1930, le Service forestier du gouvernement fédéral mena un vaste inventaire dans tout le bassin de la rivière du Lièvre. Cette étude fut réalisée à partir de 1 600 placettes-échantillons uniformément distribuées et avait pour but de caractériser le paysage forestier et de mieux comprendre sa dynamique (MacLaren 1956). Les résultats de cet inventaire illustrent bien que la composition de la végétation, en plus d’être liée aux facteurs abiotiques, fut fortement influencée par les dommages causés par le feu, et ce, particulièrement dans le territoire situé au nord de Mont-Laurier. L’étude de la MacLaren (1956) conclu</w:t>
      </w:r>
      <w:r>
        <w:t>t</w:t>
      </w:r>
      <w:r w:rsidRPr="00361DA2">
        <w:t xml:space="preserve"> également que la majorité des feux de forêt eurent lieu avant 1900 et que des grands feux </w:t>
      </w:r>
      <w:r>
        <w:t>eurent</w:t>
      </w:r>
      <w:r w:rsidRPr="00361DA2">
        <w:t xml:space="preserve"> lieu en 1870, 1905 et 1923. Avec l’arrivée des concessions en 1920, une politique de protection des forêts visant à prévenir et à combattre les feux de forêt </w:t>
      </w:r>
      <w:r>
        <w:t>fut</w:t>
      </w:r>
      <w:r w:rsidRPr="00361DA2">
        <w:t xml:space="preserve"> mise en place.</w:t>
      </w:r>
    </w:p>
    <w:p w:rsidR="00CE5299" w:rsidRPr="00361DA2" w:rsidRDefault="00C34D0A" w:rsidP="00CE5299">
      <w:pPr>
        <w:spacing w:before="120" w:after="120"/>
        <w:jc w:val="both"/>
      </w:pPr>
      <w:r>
        <w:t>Comme</w:t>
      </w:r>
      <w:r w:rsidR="00CE5299" w:rsidRPr="00361DA2">
        <w:t xml:space="preserve"> mentionné plus haut, les feux de petites tailles sont les plus fréquents, mais les grands feux sont ceux qui laissent le plus d’empreinte</w:t>
      </w:r>
      <w:r>
        <w:t xml:space="preserve">s </w:t>
      </w:r>
      <w:r w:rsidR="00CE5299" w:rsidRPr="00361DA2">
        <w:t xml:space="preserve">sur le territoire. Dans la sapinière à bouleau jaune du Témiscamingue, c’est près de 85% de la superficie brûlée qui l’a été par des feux de plus de 10 000 ha ; en termes de </w:t>
      </w:r>
      <w:r w:rsidR="00CE5299">
        <w:t>fréquence</w:t>
      </w:r>
      <w:r w:rsidR="00CE5299" w:rsidRPr="00361DA2">
        <w:t xml:space="preserve">, </w:t>
      </w:r>
      <w:r w:rsidR="00CE5299">
        <w:t>les incendies de cette envergure</w:t>
      </w:r>
      <w:r w:rsidR="00CE5299" w:rsidRPr="00361DA2">
        <w:t xml:space="preserve"> ne comptaient que pour 30 % du nombre total des feux. La taille médiane des 35 feux cartographiés est de 2 700 ha, la moyenne étant de 8 300 ha et les deux plus grands feux atteignant 33 700 et 43 800 ha (Bouchard et </w:t>
      </w:r>
      <w:r w:rsidR="00CE5299" w:rsidRPr="00361DA2">
        <w:rPr>
          <w:i/>
        </w:rPr>
        <w:t>al.</w:t>
      </w:r>
      <w:r w:rsidR="00CE5299" w:rsidRPr="00361DA2">
        <w:t xml:space="preserve"> 2003). Ces feux sont dispersés dans le paysage de façon aléatoire, laissant des massifs forestiers intacts (Leduc et </w:t>
      </w:r>
      <w:r w:rsidR="00CE5299" w:rsidRPr="00361DA2">
        <w:rPr>
          <w:i/>
        </w:rPr>
        <w:t>al.</w:t>
      </w:r>
      <w:r w:rsidR="00CE5299" w:rsidRPr="00361DA2">
        <w:t xml:space="preserve"> 2000). (tiré de Dallaire et Légaré 2011)</w:t>
      </w:r>
    </w:p>
    <w:p w:rsidR="00CE5299" w:rsidRPr="00361DA2" w:rsidRDefault="00CE5299" w:rsidP="00CE5299">
      <w:pPr>
        <w:spacing w:before="120" w:after="120"/>
        <w:jc w:val="both"/>
      </w:pPr>
      <w:r w:rsidRPr="00361DA2">
        <w:t>Pour le domaine de l’érablière à bouleau jaune, les grands feux sont aussi peu fréquent</w:t>
      </w:r>
      <w:r>
        <w:t>s</w:t>
      </w:r>
      <w:r w:rsidRPr="00361DA2">
        <w:t xml:space="preserve"> et leur </w:t>
      </w:r>
      <w:r>
        <w:t>récurrence</w:t>
      </w:r>
      <w:r w:rsidRPr="00361DA2">
        <w:t xml:space="preserve"> varie entre 1</w:t>
      </w:r>
      <w:r>
        <w:t> </w:t>
      </w:r>
      <w:r w:rsidRPr="00361DA2">
        <w:t xml:space="preserve">400 </w:t>
      </w:r>
      <w:r>
        <w:t>et</w:t>
      </w:r>
      <w:r w:rsidRPr="00361DA2">
        <w:t xml:space="preserve"> 4</w:t>
      </w:r>
      <w:r>
        <w:t> </w:t>
      </w:r>
      <w:r w:rsidRPr="00361DA2">
        <w:t>500 ans (</w:t>
      </w:r>
      <w:r>
        <w:t>C</w:t>
      </w:r>
      <w:r w:rsidRPr="00361DA2">
        <w:t>habot e</w:t>
      </w:r>
      <w:r>
        <w:t xml:space="preserve">t al 2003; Drever et </w:t>
      </w:r>
      <w:r w:rsidRPr="00547BB2">
        <w:rPr>
          <w:i/>
        </w:rPr>
        <w:t>al.</w:t>
      </w:r>
      <w:r>
        <w:t xml:space="preserve"> 2006).  Dans u</w:t>
      </w:r>
      <w:r w:rsidRPr="00361DA2">
        <w:t>ne étude réalisé</w:t>
      </w:r>
      <w:r>
        <w:t>e</w:t>
      </w:r>
      <w:r w:rsidRPr="00361DA2">
        <w:t xml:space="preserve"> au </w:t>
      </w:r>
      <w:r>
        <w:t>T</w:t>
      </w:r>
      <w:r w:rsidRPr="00361DA2">
        <w:t xml:space="preserve">émiscamingue (Drever et </w:t>
      </w:r>
      <w:r w:rsidRPr="00547BB2">
        <w:rPr>
          <w:i/>
        </w:rPr>
        <w:t>al</w:t>
      </w:r>
      <w:r>
        <w:t>.</w:t>
      </w:r>
      <w:r w:rsidRPr="00361DA2">
        <w:t xml:space="preserve"> 2006), 60 % du paysage étudié n’avait pas subi de feu dans le</w:t>
      </w:r>
      <w:r>
        <w:t xml:space="preserve"> dernie</w:t>
      </w:r>
      <w:r w:rsidRPr="00361DA2">
        <w:t xml:space="preserve">r 413 ans ce qui laisse entrevoir une faible présence de ce type de </w:t>
      </w:r>
      <w:r>
        <w:t>perturbation</w:t>
      </w:r>
      <w:r w:rsidRPr="00361DA2">
        <w:t>.</w:t>
      </w:r>
      <w:r>
        <w:t xml:space="preserve"> </w:t>
      </w:r>
    </w:p>
    <w:p w:rsidR="00CE5299" w:rsidRPr="00361DA2" w:rsidRDefault="00CE5299" w:rsidP="00CE5299">
      <w:pPr>
        <w:spacing w:before="120" w:after="120"/>
        <w:jc w:val="both"/>
      </w:pPr>
      <w:r w:rsidRPr="00361DA2">
        <w:t xml:space="preserve">Le </w:t>
      </w:r>
      <w:r w:rsidR="00431F6B">
        <w:fldChar w:fldCharType="begin"/>
      </w:r>
      <w:r w:rsidR="00431F6B">
        <w:instrText xml:space="preserve"> REF _Ref483472102 \h </w:instrText>
      </w:r>
      <w:r w:rsidR="00431F6B">
        <w:fldChar w:fldCharType="separate"/>
      </w:r>
      <w:r w:rsidR="00241D60" w:rsidRPr="00D957AA">
        <w:t xml:space="preserve">Tableau </w:t>
      </w:r>
      <w:r w:rsidR="00241D60">
        <w:rPr>
          <w:noProof/>
        </w:rPr>
        <w:t>2</w:t>
      </w:r>
      <w:r w:rsidR="00431F6B">
        <w:fldChar w:fldCharType="end"/>
      </w:r>
      <w:r w:rsidR="00431F6B">
        <w:t xml:space="preserve"> </w:t>
      </w:r>
      <w:r w:rsidRPr="00361DA2">
        <w:t xml:space="preserve">présente les cycles de feux antérieurement observés dans chacun des deux </w:t>
      </w:r>
      <w:r>
        <w:t>d</w:t>
      </w:r>
      <w:r w:rsidRPr="00361DA2">
        <w:t xml:space="preserve">omaines bioclimatiques </w:t>
      </w:r>
      <w:r>
        <w:t>selon le</w:t>
      </w:r>
      <w:r w:rsidRPr="00361DA2">
        <w:t xml:space="preserve"> type de feux. Les feux combinés correspondent à un mélange de feux de surface, qui sont généralement plus fréquents, et de feux de plus forte intensité, c’est-à-dire de grands feux qui brûlent les arbres jusqu’à leur cime. </w:t>
      </w:r>
    </w:p>
    <w:p w:rsidR="00CE5299" w:rsidRPr="00361DA2" w:rsidRDefault="00CE5299" w:rsidP="00CE5299">
      <w:pPr>
        <w:pStyle w:val="Lgende"/>
        <w:keepNext/>
        <w:keepLines/>
        <w:spacing w:before="120" w:after="120"/>
        <w:jc w:val="both"/>
        <w:rPr>
          <w:b w:val="0"/>
          <w:szCs w:val="22"/>
        </w:rPr>
      </w:pPr>
      <w:bookmarkStart w:id="24" w:name="_Ref483472102"/>
      <w:bookmarkStart w:id="25" w:name="_Toc421716920"/>
      <w:bookmarkStart w:id="26" w:name="_Toc484513482"/>
      <w:r w:rsidRPr="00D957AA">
        <w:t xml:space="preserve">Tableau </w:t>
      </w:r>
      <w:r w:rsidR="00FD33B5">
        <w:fldChar w:fldCharType="begin"/>
      </w:r>
      <w:r w:rsidR="00FD33B5">
        <w:instrText xml:space="preserve"> SEQ Tableau \* ARABIC </w:instrText>
      </w:r>
      <w:r w:rsidR="00FD33B5">
        <w:fldChar w:fldCharType="separate"/>
      </w:r>
      <w:r w:rsidR="00241D60">
        <w:rPr>
          <w:noProof/>
        </w:rPr>
        <w:t>2</w:t>
      </w:r>
      <w:r w:rsidR="00FD33B5">
        <w:rPr>
          <w:noProof/>
        </w:rPr>
        <w:fldChar w:fldCharType="end"/>
      </w:r>
      <w:bookmarkEnd w:id="24"/>
      <w:r w:rsidRPr="00D957AA">
        <w:t>. Cycle des feux selon le sous-domaine bioclimatique</w:t>
      </w:r>
      <w:r w:rsidRPr="00D957AA">
        <w:rPr>
          <w:szCs w:val="22"/>
        </w:rPr>
        <w:t xml:space="preserve"> </w:t>
      </w:r>
      <w:r w:rsidRPr="00D957AA">
        <w:t>(adapté de CFHL 2009)</w:t>
      </w:r>
      <w:bookmarkEnd w:id="25"/>
      <w:bookmarkEnd w:id="26"/>
    </w:p>
    <w:tbl>
      <w:tblPr>
        <w:tblW w:w="5000" w:type="pct"/>
        <w:tblBorders>
          <w:top w:val="single" w:sz="4" w:space="0" w:color="000000"/>
          <w:bottom w:val="single" w:sz="4" w:space="0" w:color="000000"/>
          <w:insideH w:val="single" w:sz="4" w:space="0" w:color="000000"/>
        </w:tblBorders>
        <w:tblLook w:val="00A0" w:firstRow="1" w:lastRow="0" w:firstColumn="1" w:lastColumn="0" w:noHBand="0" w:noVBand="0"/>
      </w:tblPr>
      <w:tblGrid>
        <w:gridCol w:w="2405"/>
        <w:gridCol w:w="2405"/>
        <w:gridCol w:w="2405"/>
        <w:gridCol w:w="2405"/>
      </w:tblGrid>
      <w:tr w:rsidR="00CE5299" w:rsidRPr="00361DA2" w:rsidTr="00F77507">
        <w:tc>
          <w:tcPr>
            <w:tcW w:w="1250" w:type="pct"/>
            <w:shd w:val="clear" w:color="auto" w:fill="D9D9D9"/>
          </w:tcPr>
          <w:p w:rsidR="00CE5299" w:rsidRPr="00361DA2" w:rsidRDefault="00CE5299" w:rsidP="00CE5299">
            <w:pPr>
              <w:keepNext/>
              <w:keepLines/>
              <w:spacing w:before="120" w:after="120"/>
              <w:jc w:val="both"/>
              <w:rPr>
                <w:b/>
                <w:sz w:val="20"/>
                <w:szCs w:val="20"/>
              </w:rPr>
            </w:pPr>
            <w:r w:rsidRPr="00361DA2">
              <w:rPr>
                <w:b/>
                <w:sz w:val="20"/>
                <w:szCs w:val="20"/>
              </w:rPr>
              <w:t>Sous-domaine bioclimatique le plus concerné</w:t>
            </w:r>
          </w:p>
        </w:tc>
        <w:tc>
          <w:tcPr>
            <w:tcW w:w="1250" w:type="pct"/>
            <w:shd w:val="clear" w:color="auto" w:fill="D9D9D9"/>
            <w:vAlign w:val="center"/>
          </w:tcPr>
          <w:p w:rsidR="00CE5299" w:rsidRPr="00361DA2" w:rsidRDefault="00CE5299" w:rsidP="00CE5299">
            <w:pPr>
              <w:keepNext/>
              <w:keepLines/>
              <w:spacing w:before="120" w:after="120"/>
              <w:jc w:val="both"/>
              <w:rPr>
                <w:b/>
                <w:sz w:val="20"/>
                <w:szCs w:val="20"/>
              </w:rPr>
            </w:pPr>
            <w:r>
              <w:rPr>
                <w:b/>
                <w:sz w:val="20"/>
                <w:szCs w:val="20"/>
              </w:rPr>
              <w:t>Types de feux</w:t>
            </w:r>
          </w:p>
        </w:tc>
        <w:tc>
          <w:tcPr>
            <w:tcW w:w="1250" w:type="pct"/>
            <w:shd w:val="clear" w:color="auto" w:fill="D9D9D9"/>
            <w:vAlign w:val="center"/>
          </w:tcPr>
          <w:p w:rsidR="00CE5299" w:rsidRPr="00361DA2" w:rsidRDefault="00CE5299" w:rsidP="00CE5299">
            <w:pPr>
              <w:keepNext/>
              <w:keepLines/>
              <w:spacing w:before="120" w:after="120"/>
              <w:jc w:val="both"/>
              <w:rPr>
                <w:b/>
                <w:sz w:val="20"/>
                <w:szCs w:val="20"/>
              </w:rPr>
            </w:pPr>
            <w:r w:rsidRPr="00361DA2">
              <w:rPr>
                <w:b/>
                <w:sz w:val="20"/>
                <w:szCs w:val="20"/>
              </w:rPr>
              <w:t>Cycle (ans)</w:t>
            </w:r>
          </w:p>
        </w:tc>
        <w:tc>
          <w:tcPr>
            <w:tcW w:w="1250" w:type="pct"/>
            <w:shd w:val="clear" w:color="auto" w:fill="D9D9D9"/>
            <w:vAlign w:val="center"/>
          </w:tcPr>
          <w:p w:rsidR="00CE5299" w:rsidRPr="00361DA2" w:rsidRDefault="00CE5299" w:rsidP="00CE5299">
            <w:pPr>
              <w:keepNext/>
              <w:keepLines/>
              <w:spacing w:before="120" w:after="120"/>
              <w:jc w:val="both"/>
              <w:rPr>
                <w:b/>
                <w:sz w:val="20"/>
                <w:szCs w:val="20"/>
              </w:rPr>
            </w:pPr>
            <w:r w:rsidRPr="00361DA2">
              <w:rPr>
                <w:b/>
                <w:sz w:val="20"/>
                <w:szCs w:val="20"/>
              </w:rPr>
              <w:t>Source</w:t>
            </w:r>
          </w:p>
        </w:tc>
      </w:tr>
      <w:tr w:rsidR="00CE5299" w:rsidRPr="00361DA2" w:rsidTr="00F77507">
        <w:trPr>
          <w:trHeight w:val="135"/>
        </w:trPr>
        <w:tc>
          <w:tcPr>
            <w:tcW w:w="1250" w:type="pct"/>
            <w:vMerge w:val="restart"/>
            <w:vAlign w:val="center"/>
          </w:tcPr>
          <w:p w:rsidR="00CE5299" w:rsidRPr="00361DA2" w:rsidRDefault="00CE5299" w:rsidP="00CE5299">
            <w:pPr>
              <w:keepNext/>
              <w:keepLines/>
              <w:spacing w:before="120" w:after="120"/>
              <w:jc w:val="both"/>
              <w:rPr>
                <w:sz w:val="20"/>
                <w:szCs w:val="20"/>
              </w:rPr>
            </w:pPr>
            <w:r w:rsidRPr="00361DA2">
              <w:rPr>
                <w:sz w:val="20"/>
                <w:szCs w:val="20"/>
              </w:rPr>
              <w:t>Sapinière à bouleau jaune de l’Ouest</w:t>
            </w:r>
            <w:r>
              <w:rPr>
                <w:sz w:val="20"/>
                <w:szCs w:val="20"/>
              </w:rPr>
              <w:t xml:space="preserve"> (62-52)</w:t>
            </w:r>
          </w:p>
        </w:tc>
        <w:tc>
          <w:tcPr>
            <w:tcW w:w="1250" w:type="pct"/>
            <w:vMerge w:val="restart"/>
            <w:vAlign w:val="center"/>
          </w:tcPr>
          <w:p w:rsidR="00CE5299" w:rsidRPr="00361DA2" w:rsidRDefault="00CE5299" w:rsidP="00CE5299">
            <w:pPr>
              <w:keepNext/>
              <w:keepLines/>
              <w:spacing w:before="120" w:after="120"/>
              <w:jc w:val="both"/>
              <w:rPr>
                <w:sz w:val="20"/>
                <w:szCs w:val="20"/>
              </w:rPr>
            </w:pPr>
            <w:r w:rsidRPr="00361DA2">
              <w:rPr>
                <w:sz w:val="20"/>
                <w:szCs w:val="20"/>
              </w:rPr>
              <w:t>Grands feux</w:t>
            </w:r>
          </w:p>
        </w:tc>
        <w:tc>
          <w:tcPr>
            <w:tcW w:w="1250" w:type="pct"/>
            <w:shd w:val="clear" w:color="auto" w:fill="auto"/>
            <w:vAlign w:val="center"/>
          </w:tcPr>
          <w:p w:rsidR="00CE5299" w:rsidRPr="002B42E6" w:rsidRDefault="00CE5299" w:rsidP="00CE5299">
            <w:pPr>
              <w:keepNext/>
              <w:keepLines/>
              <w:autoSpaceDE w:val="0"/>
              <w:autoSpaceDN w:val="0"/>
              <w:adjustRightInd w:val="0"/>
              <w:spacing w:before="120" w:after="120"/>
              <w:jc w:val="both"/>
              <w:rPr>
                <w:sz w:val="20"/>
                <w:szCs w:val="20"/>
                <w:lang w:val="fr-CA" w:eastAsia="fr-CA"/>
              </w:rPr>
            </w:pPr>
            <w:r w:rsidRPr="002B42E6">
              <w:rPr>
                <w:sz w:val="20"/>
                <w:szCs w:val="20"/>
                <w:lang w:val="fr-CA" w:eastAsia="fr-CA"/>
              </w:rPr>
              <w:t>1 400-</w:t>
            </w:r>
            <w:r w:rsidRPr="00D957AA">
              <w:rPr>
                <w:sz w:val="20"/>
                <w:szCs w:val="20"/>
              </w:rPr>
              <w:t>2 000</w:t>
            </w:r>
          </w:p>
          <w:p w:rsidR="00CE5299" w:rsidRPr="002B42E6" w:rsidRDefault="00CE5299" w:rsidP="00CE5299">
            <w:pPr>
              <w:keepNext/>
              <w:keepLines/>
              <w:spacing w:before="120" w:after="120"/>
              <w:jc w:val="both"/>
              <w:rPr>
                <w:sz w:val="20"/>
                <w:szCs w:val="20"/>
              </w:rPr>
            </w:pPr>
            <w:r w:rsidRPr="002B42E6">
              <w:rPr>
                <w:sz w:val="20"/>
                <w:szCs w:val="20"/>
                <w:lang w:val="fr-CA" w:eastAsia="fr-CA"/>
              </w:rPr>
              <w:t>1 000*</w:t>
            </w:r>
          </w:p>
        </w:tc>
        <w:tc>
          <w:tcPr>
            <w:tcW w:w="1250" w:type="pct"/>
            <w:shd w:val="clear" w:color="auto" w:fill="auto"/>
            <w:vAlign w:val="center"/>
          </w:tcPr>
          <w:p w:rsidR="00CE5299" w:rsidRPr="00361DA2" w:rsidRDefault="00CE5299" w:rsidP="00CE5299">
            <w:pPr>
              <w:keepNext/>
              <w:keepLines/>
              <w:spacing w:before="120" w:after="120"/>
              <w:jc w:val="both"/>
              <w:rPr>
                <w:sz w:val="20"/>
                <w:szCs w:val="20"/>
              </w:rPr>
            </w:pPr>
            <w:r w:rsidRPr="00361DA2">
              <w:rPr>
                <w:sz w:val="20"/>
                <w:szCs w:val="20"/>
              </w:rPr>
              <w:t xml:space="preserve">Chabot et </w:t>
            </w:r>
            <w:r w:rsidRPr="00361DA2">
              <w:rPr>
                <w:i/>
                <w:sz w:val="20"/>
                <w:szCs w:val="20"/>
              </w:rPr>
              <w:t>al.</w:t>
            </w:r>
            <w:r w:rsidRPr="00361DA2">
              <w:rPr>
                <w:sz w:val="20"/>
                <w:szCs w:val="20"/>
              </w:rPr>
              <w:t xml:space="preserve"> (2003)</w:t>
            </w:r>
          </w:p>
        </w:tc>
      </w:tr>
      <w:tr w:rsidR="00CE5299" w:rsidRPr="00361DA2" w:rsidTr="00F77507">
        <w:trPr>
          <w:trHeight w:val="135"/>
        </w:trPr>
        <w:tc>
          <w:tcPr>
            <w:tcW w:w="1250" w:type="pct"/>
            <w:vMerge/>
            <w:vAlign w:val="center"/>
          </w:tcPr>
          <w:p w:rsidR="00CE5299" w:rsidRPr="00361DA2" w:rsidRDefault="00CE5299" w:rsidP="00CE5299">
            <w:pPr>
              <w:keepNext/>
              <w:keepLines/>
              <w:spacing w:before="120" w:after="120"/>
              <w:jc w:val="both"/>
              <w:rPr>
                <w:sz w:val="20"/>
                <w:szCs w:val="20"/>
              </w:rPr>
            </w:pPr>
          </w:p>
        </w:tc>
        <w:tc>
          <w:tcPr>
            <w:tcW w:w="1250" w:type="pct"/>
            <w:vMerge/>
            <w:vAlign w:val="center"/>
          </w:tcPr>
          <w:p w:rsidR="00CE5299" w:rsidRPr="00361DA2" w:rsidRDefault="00CE5299" w:rsidP="00CE5299">
            <w:pPr>
              <w:keepNext/>
              <w:keepLines/>
              <w:spacing w:before="120" w:after="120"/>
              <w:jc w:val="both"/>
              <w:rPr>
                <w:sz w:val="20"/>
                <w:szCs w:val="20"/>
              </w:rPr>
            </w:pPr>
          </w:p>
        </w:tc>
        <w:tc>
          <w:tcPr>
            <w:tcW w:w="1250" w:type="pct"/>
            <w:shd w:val="clear" w:color="auto" w:fill="auto"/>
            <w:vAlign w:val="center"/>
          </w:tcPr>
          <w:p w:rsidR="00CE5299" w:rsidRPr="002B42E6" w:rsidRDefault="00CE5299" w:rsidP="00CE5299">
            <w:pPr>
              <w:keepNext/>
              <w:keepLines/>
              <w:spacing w:before="120" w:after="120"/>
              <w:jc w:val="both"/>
              <w:rPr>
                <w:sz w:val="20"/>
                <w:szCs w:val="20"/>
              </w:rPr>
            </w:pPr>
            <w:r w:rsidRPr="002B42E6">
              <w:rPr>
                <w:sz w:val="20"/>
                <w:szCs w:val="20"/>
              </w:rPr>
              <w:t>250</w:t>
            </w:r>
          </w:p>
        </w:tc>
        <w:tc>
          <w:tcPr>
            <w:tcW w:w="1250" w:type="pct"/>
            <w:shd w:val="clear" w:color="auto" w:fill="auto"/>
            <w:vAlign w:val="center"/>
          </w:tcPr>
          <w:p w:rsidR="00CE5299" w:rsidRPr="00361DA2" w:rsidRDefault="00CE5299" w:rsidP="00CE5299">
            <w:pPr>
              <w:keepNext/>
              <w:keepLines/>
              <w:spacing w:before="120" w:after="120"/>
              <w:jc w:val="both"/>
              <w:rPr>
                <w:sz w:val="20"/>
                <w:szCs w:val="20"/>
              </w:rPr>
            </w:pPr>
            <w:r w:rsidRPr="00361DA2">
              <w:rPr>
                <w:sz w:val="20"/>
                <w:szCs w:val="20"/>
              </w:rPr>
              <w:t>Doyon et Bouffard (2009)</w:t>
            </w:r>
          </w:p>
        </w:tc>
      </w:tr>
      <w:tr w:rsidR="00CE5299" w:rsidRPr="00361DA2" w:rsidTr="00F77507">
        <w:trPr>
          <w:trHeight w:val="262"/>
        </w:trPr>
        <w:tc>
          <w:tcPr>
            <w:tcW w:w="1250" w:type="pct"/>
            <w:vMerge/>
            <w:vAlign w:val="center"/>
          </w:tcPr>
          <w:p w:rsidR="00CE5299" w:rsidRPr="00361DA2" w:rsidRDefault="00CE5299" w:rsidP="00CE5299">
            <w:pPr>
              <w:keepNext/>
              <w:keepLines/>
              <w:spacing w:before="120" w:after="120"/>
              <w:jc w:val="both"/>
              <w:rPr>
                <w:sz w:val="20"/>
                <w:szCs w:val="20"/>
              </w:rPr>
            </w:pPr>
          </w:p>
        </w:tc>
        <w:tc>
          <w:tcPr>
            <w:tcW w:w="1250" w:type="pct"/>
            <w:vAlign w:val="center"/>
          </w:tcPr>
          <w:p w:rsidR="00CE5299" w:rsidRPr="00361DA2" w:rsidRDefault="00CE5299" w:rsidP="00CE5299">
            <w:pPr>
              <w:keepNext/>
              <w:keepLines/>
              <w:spacing w:before="120" w:after="120"/>
              <w:jc w:val="both"/>
              <w:rPr>
                <w:sz w:val="20"/>
                <w:szCs w:val="20"/>
              </w:rPr>
            </w:pPr>
            <w:r w:rsidRPr="00361DA2">
              <w:rPr>
                <w:sz w:val="20"/>
                <w:szCs w:val="20"/>
              </w:rPr>
              <w:t>Feux combinés</w:t>
            </w:r>
          </w:p>
        </w:tc>
        <w:tc>
          <w:tcPr>
            <w:tcW w:w="1250" w:type="pct"/>
            <w:shd w:val="clear" w:color="auto" w:fill="auto"/>
            <w:vAlign w:val="center"/>
          </w:tcPr>
          <w:p w:rsidR="00CE5299" w:rsidRPr="002B42E6" w:rsidRDefault="00CE5299" w:rsidP="00CE5299">
            <w:pPr>
              <w:keepNext/>
              <w:keepLines/>
              <w:spacing w:before="120" w:after="120"/>
              <w:jc w:val="both"/>
              <w:rPr>
                <w:sz w:val="20"/>
                <w:szCs w:val="20"/>
              </w:rPr>
            </w:pPr>
            <w:r w:rsidRPr="002B42E6">
              <w:rPr>
                <w:sz w:val="20"/>
                <w:szCs w:val="20"/>
              </w:rPr>
              <w:t>307</w:t>
            </w:r>
          </w:p>
        </w:tc>
        <w:tc>
          <w:tcPr>
            <w:tcW w:w="1250" w:type="pct"/>
            <w:shd w:val="clear" w:color="auto" w:fill="auto"/>
            <w:vAlign w:val="center"/>
          </w:tcPr>
          <w:p w:rsidR="00CE5299" w:rsidRPr="00361DA2" w:rsidRDefault="00CE5299" w:rsidP="00CE5299">
            <w:pPr>
              <w:keepNext/>
              <w:keepLines/>
              <w:spacing w:before="120" w:after="120"/>
              <w:jc w:val="both"/>
              <w:rPr>
                <w:sz w:val="20"/>
                <w:szCs w:val="20"/>
              </w:rPr>
            </w:pPr>
            <w:r w:rsidRPr="00361DA2">
              <w:rPr>
                <w:sz w:val="20"/>
                <w:szCs w:val="20"/>
              </w:rPr>
              <w:t>Allard et Gauthier (2009)</w:t>
            </w:r>
          </w:p>
        </w:tc>
      </w:tr>
      <w:tr w:rsidR="00CE5299" w:rsidRPr="00361DA2" w:rsidTr="00F77507">
        <w:trPr>
          <w:trHeight w:val="135"/>
        </w:trPr>
        <w:tc>
          <w:tcPr>
            <w:tcW w:w="1250" w:type="pct"/>
            <w:vMerge w:val="restart"/>
            <w:vAlign w:val="center"/>
          </w:tcPr>
          <w:p w:rsidR="00CE5299" w:rsidRPr="00361DA2" w:rsidRDefault="00CE5299" w:rsidP="00CE5299">
            <w:pPr>
              <w:keepNext/>
              <w:keepLines/>
              <w:spacing w:before="120" w:after="120"/>
              <w:jc w:val="both"/>
              <w:rPr>
                <w:sz w:val="20"/>
                <w:szCs w:val="20"/>
              </w:rPr>
            </w:pPr>
            <w:r w:rsidRPr="00361DA2">
              <w:rPr>
                <w:sz w:val="20"/>
                <w:szCs w:val="20"/>
              </w:rPr>
              <w:t>Érablière à bouleau jaune</w:t>
            </w:r>
            <w:r>
              <w:rPr>
                <w:sz w:val="20"/>
                <w:szCs w:val="20"/>
              </w:rPr>
              <w:t xml:space="preserve"> (62-51)</w:t>
            </w:r>
          </w:p>
        </w:tc>
        <w:tc>
          <w:tcPr>
            <w:tcW w:w="1250" w:type="pct"/>
            <w:vMerge w:val="restart"/>
            <w:vAlign w:val="center"/>
          </w:tcPr>
          <w:p w:rsidR="00CE5299" w:rsidRPr="00361DA2" w:rsidRDefault="00CE5299" w:rsidP="00CE5299">
            <w:pPr>
              <w:keepNext/>
              <w:keepLines/>
              <w:spacing w:before="120" w:after="120"/>
              <w:jc w:val="both"/>
              <w:rPr>
                <w:sz w:val="20"/>
                <w:szCs w:val="20"/>
              </w:rPr>
            </w:pPr>
            <w:r w:rsidRPr="00361DA2">
              <w:rPr>
                <w:sz w:val="20"/>
                <w:szCs w:val="20"/>
              </w:rPr>
              <w:t>Grand</w:t>
            </w:r>
            <w:r w:rsidR="00C34D0A">
              <w:rPr>
                <w:sz w:val="20"/>
                <w:szCs w:val="20"/>
              </w:rPr>
              <w:t xml:space="preserve">s </w:t>
            </w:r>
            <w:r w:rsidRPr="00361DA2">
              <w:rPr>
                <w:sz w:val="20"/>
                <w:szCs w:val="20"/>
              </w:rPr>
              <w:t>feux</w:t>
            </w:r>
          </w:p>
        </w:tc>
        <w:tc>
          <w:tcPr>
            <w:tcW w:w="1250" w:type="pct"/>
            <w:vAlign w:val="center"/>
          </w:tcPr>
          <w:p w:rsidR="00CE5299" w:rsidRPr="002B42E6" w:rsidRDefault="00CE5299" w:rsidP="00CE5299">
            <w:pPr>
              <w:keepNext/>
              <w:keepLines/>
              <w:spacing w:before="120" w:after="120"/>
              <w:jc w:val="both"/>
              <w:rPr>
                <w:sz w:val="20"/>
                <w:szCs w:val="20"/>
              </w:rPr>
            </w:pPr>
            <w:r w:rsidRPr="002B42E6">
              <w:rPr>
                <w:sz w:val="20"/>
                <w:szCs w:val="20"/>
              </w:rPr>
              <w:t>1 400-2 000</w:t>
            </w:r>
          </w:p>
          <w:p w:rsidR="00CE5299" w:rsidRPr="002B42E6" w:rsidRDefault="00CE5299" w:rsidP="00CE5299">
            <w:pPr>
              <w:keepNext/>
              <w:keepLines/>
              <w:spacing w:before="120" w:after="120"/>
              <w:jc w:val="both"/>
              <w:rPr>
                <w:sz w:val="20"/>
                <w:szCs w:val="20"/>
              </w:rPr>
            </w:pPr>
            <w:r w:rsidRPr="002B42E6">
              <w:rPr>
                <w:sz w:val="20"/>
                <w:szCs w:val="20"/>
              </w:rPr>
              <w:t>1 000*</w:t>
            </w:r>
          </w:p>
        </w:tc>
        <w:tc>
          <w:tcPr>
            <w:tcW w:w="1250" w:type="pct"/>
            <w:shd w:val="clear" w:color="auto" w:fill="auto"/>
            <w:vAlign w:val="center"/>
          </w:tcPr>
          <w:p w:rsidR="00CE5299" w:rsidRPr="00361DA2" w:rsidRDefault="00CE5299" w:rsidP="00CE5299">
            <w:pPr>
              <w:keepNext/>
              <w:keepLines/>
              <w:spacing w:before="120" w:after="120"/>
              <w:jc w:val="both"/>
              <w:rPr>
                <w:sz w:val="20"/>
                <w:szCs w:val="20"/>
              </w:rPr>
            </w:pPr>
            <w:r w:rsidRPr="00361DA2">
              <w:rPr>
                <w:sz w:val="20"/>
                <w:szCs w:val="20"/>
              </w:rPr>
              <w:t xml:space="preserve">Chabot et </w:t>
            </w:r>
            <w:r w:rsidRPr="00361DA2">
              <w:rPr>
                <w:i/>
                <w:sz w:val="20"/>
                <w:szCs w:val="20"/>
              </w:rPr>
              <w:t>al.</w:t>
            </w:r>
            <w:r w:rsidRPr="00361DA2">
              <w:rPr>
                <w:sz w:val="20"/>
                <w:szCs w:val="20"/>
              </w:rPr>
              <w:t xml:space="preserve"> (2003)</w:t>
            </w:r>
          </w:p>
        </w:tc>
      </w:tr>
      <w:tr w:rsidR="00CE5299" w:rsidRPr="00361DA2" w:rsidTr="00F77507">
        <w:trPr>
          <w:trHeight w:val="135"/>
        </w:trPr>
        <w:tc>
          <w:tcPr>
            <w:tcW w:w="1250" w:type="pct"/>
            <w:vMerge/>
            <w:vAlign w:val="center"/>
          </w:tcPr>
          <w:p w:rsidR="00CE5299" w:rsidRPr="00361DA2" w:rsidRDefault="00CE5299" w:rsidP="00CE5299">
            <w:pPr>
              <w:keepNext/>
              <w:keepLines/>
              <w:spacing w:before="120" w:after="120"/>
              <w:jc w:val="both"/>
              <w:rPr>
                <w:sz w:val="20"/>
                <w:szCs w:val="20"/>
              </w:rPr>
            </w:pPr>
          </w:p>
        </w:tc>
        <w:tc>
          <w:tcPr>
            <w:tcW w:w="1250" w:type="pct"/>
            <w:vMerge/>
            <w:vAlign w:val="center"/>
          </w:tcPr>
          <w:p w:rsidR="00CE5299" w:rsidRPr="00361DA2" w:rsidRDefault="00CE5299" w:rsidP="00CE5299">
            <w:pPr>
              <w:keepNext/>
              <w:keepLines/>
              <w:spacing w:before="120" w:after="120"/>
              <w:jc w:val="both"/>
              <w:rPr>
                <w:sz w:val="20"/>
                <w:szCs w:val="20"/>
              </w:rPr>
            </w:pPr>
          </w:p>
        </w:tc>
        <w:tc>
          <w:tcPr>
            <w:tcW w:w="1250" w:type="pct"/>
            <w:vAlign w:val="center"/>
          </w:tcPr>
          <w:p w:rsidR="00CE5299" w:rsidRPr="002B42E6" w:rsidRDefault="00CE5299" w:rsidP="00CE5299">
            <w:pPr>
              <w:keepNext/>
              <w:keepLines/>
              <w:spacing w:before="120" w:after="120"/>
              <w:jc w:val="both"/>
              <w:rPr>
                <w:sz w:val="20"/>
                <w:szCs w:val="20"/>
              </w:rPr>
            </w:pPr>
            <w:r w:rsidRPr="002B42E6">
              <w:rPr>
                <w:sz w:val="20"/>
                <w:szCs w:val="20"/>
              </w:rPr>
              <w:t>1</w:t>
            </w:r>
            <w:r w:rsidRPr="00D957AA">
              <w:rPr>
                <w:sz w:val="20"/>
                <w:szCs w:val="20"/>
              </w:rPr>
              <w:t> </w:t>
            </w:r>
            <w:r w:rsidRPr="002B42E6">
              <w:rPr>
                <w:sz w:val="20"/>
                <w:szCs w:val="20"/>
              </w:rPr>
              <w:t>400-4 500</w:t>
            </w:r>
          </w:p>
        </w:tc>
        <w:tc>
          <w:tcPr>
            <w:tcW w:w="1250" w:type="pct"/>
            <w:shd w:val="clear" w:color="auto" w:fill="auto"/>
            <w:vAlign w:val="center"/>
          </w:tcPr>
          <w:p w:rsidR="00CE5299" w:rsidRPr="00361DA2" w:rsidRDefault="00CE5299" w:rsidP="00CE5299">
            <w:pPr>
              <w:keepNext/>
              <w:keepLines/>
              <w:spacing w:before="120" w:after="120"/>
              <w:jc w:val="both"/>
              <w:rPr>
                <w:sz w:val="20"/>
                <w:szCs w:val="20"/>
              </w:rPr>
            </w:pPr>
            <w:r w:rsidRPr="00361DA2">
              <w:rPr>
                <w:sz w:val="20"/>
                <w:szCs w:val="20"/>
              </w:rPr>
              <w:t>Drever et al. (2006)</w:t>
            </w:r>
          </w:p>
        </w:tc>
      </w:tr>
      <w:tr w:rsidR="00CE5299" w:rsidRPr="00361DA2" w:rsidTr="00F77507">
        <w:tc>
          <w:tcPr>
            <w:tcW w:w="1250" w:type="pct"/>
            <w:vMerge/>
            <w:vAlign w:val="center"/>
          </w:tcPr>
          <w:p w:rsidR="00CE5299" w:rsidRPr="00361DA2" w:rsidRDefault="00CE5299" w:rsidP="00CE5299">
            <w:pPr>
              <w:keepNext/>
              <w:keepLines/>
              <w:spacing w:before="120" w:after="120"/>
              <w:jc w:val="both"/>
              <w:rPr>
                <w:sz w:val="20"/>
                <w:szCs w:val="20"/>
              </w:rPr>
            </w:pPr>
          </w:p>
        </w:tc>
        <w:tc>
          <w:tcPr>
            <w:tcW w:w="1250" w:type="pct"/>
            <w:vAlign w:val="center"/>
          </w:tcPr>
          <w:p w:rsidR="00CE5299" w:rsidRPr="00361DA2" w:rsidRDefault="00CE5299" w:rsidP="00CE5299">
            <w:pPr>
              <w:keepNext/>
              <w:keepLines/>
              <w:spacing w:before="120" w:after="120"/>
              <w:jc w:val="both"/>
              <w:rPr>
                <w:sz w:val="20"/>
                <w:szCs w:val="20"/>
              </w:rPr>
            </w:pPr>
            <w:r w:rsidRPr="00361DA2">
              <w:rPr>
                <w:sz w:val="20"/>
                <w:szCs w:val="20"/>
              </w:rPr>
              <w:t>Feux de surface</w:t>
            </w:r>
          </w:p>
        </w:tc>
        <w:tc>
          <w:tcPr>
            <w:tcW w:w="1250" w:type="pct"/>
            <w:vAlign w:val="center"/>
          </w:tcPr>
          <w:p w:rsidR="00CE5299" w:rsidRPr="002B42E6" w:rsidRDefault="00CE5299" w:rsidP="00CE5299">
            <w:pPr>
              <w:keepNext/>
              <w:keepLines/>
              <w:spacing w:before="120" w:after="120"/>
              <w:jc w:val="both"/>
              <w:rPr>
                <w:sz w:val="20"/>
                <w:szCs w:val="20"/>
              </w:rPr>
            </w:pPr>
            <w:r w:rsidRPr="002B42E6">
              <w:rPr>
                <w:sz w:val="20"/>
                <w:szCs w:val="20"/>
              </w:rPr>
              <w:t>1 000</w:t>
            </w:r>
          </w:p>
        </w:tc>
        <w:tc>
          <w:tcPr>
            <w:tcW w:w="1250" w:type="pct"/>
            <w:vAlign w:val="center"/>
          </w:tcPr>
          <w:p w:rsidR="00CE5299" w:rsidRPr="00361DA2" w:rsidRDefault="00CE5299" w:rsidP="00CE5299">
            <w:pPr>
              <w:keepNext/>
              <w:keepLines/>
              <w:spacing w:before="120" w:after="120"/>
              <w:jc w:val="both"/>
              <w:rPr>
                <w:sz w:val="20"/>
                <w:szCs w:val="20"/>
              </w:rPr>
            </w:pPr>
            <w:r w:rsidRPr="00361DA2">
              <w:rPr>
                <w:sz w:val="20"/>
                <w:szCs w:val="20"/>
              </w:rPr>
              <w:t>Doyon et Bouffard (2009)</w:t>
            </w:r>
          </w:p>
        </w:tc>
      </w:tr>
      <w:tr w:rsidR="00CE5299" w:rsidRPr="00361DA2" w:rsidTr="00F77507">
        <w:tc>
          <w:tcPr>
            <w:tcW w:w="1250" w:type="pct"/>
            <w:vMerge/>
            <w:vAlign w:val="center"/>
          </w:tcPr>
          <w:p w:rsidR="00CE5299" w:rsidRPr="00361DA2" w:rsidRDefault="00CE5299" w:rsidP="00CE5299">
            <w:pPr>
              <w:keepNext/>
              <w:keepLines/>
              <w:spacing w:before="120" w:after="120"/>
              <w:jc w:val="both"/>
              <w:rPr>
                <w:sz w:val="20"/>
                <w:szCs w:val="20"/>
              </w:rPr>
            </w:pPr>
          </w:p>
        </w:tc>
        <w:tc>
          <w:tcPr>
            <w:tcW w:w="1250" w:type="pct"/>
            <w:vAlign w:val="center"/>
          </w:tcPr>
          <w:p w:rsidR="00CE5299" w:rsidRPr="00361DA2" w:rsidRDefault="00CE5299" w:rsidP="00CE5299">
            <w:pPr>
              <w:keepNext/>
              <w:keepLines/>
              <w:spacing w:before="120" w:after="120"/>
              <w:jc w:val="both"/>
              <w:rPr>
                <w:sz w:val="20"/>
                <w:szCs w:val="20"/>
              </w:rPr>
            </w:pPr>
            <w:r w:rsidRPr="00361DA2">
              <w:rPr>
                <w:sz w:val="20"/>
                <w:szCs w:val="20"/>
              </w:rPr>
              <w:t>Feux combinés</w:t>
            </w:r>
          </w:p>
        </w:tc>
        <w:tc>
          <w:tcPr>
            <w:tcW w:w="1250" w:type="pct"/>
            <w:vAlign w:val="center"/>
          </w:tcPr>
          <w:p w:rsidR="00CE5299" w:rsidRPr="002B42E6" w:rsidRDefault="00CE5299" w:rsidP="00CE5299">
            <w:pPr>
              <w:keepNext/>
              <w:keepLines/>
              <w:spacing w:before="120" w:after="120"/>
              <w:jc w:val="both"/>
              <w:rPr>
                <w:sz w:val="20"/>
                <w:szCs w:val="20"/>
              </w:rPr>
            </w:pPr>
            <w:r w:rsidRPr="002B42E6">
              <w:rPr>
                <w:sz w:val="20"/>
                <w:szCs w:val="20"/>
              </w:rPr>
              <w:t>848</w:t>
            </w:r>
          </w:p>
        </w:tc>
        <w:tc>
          <w:tcPr>
            <w:tcW w:w="1250" w:type="pct"/>
            <w:vAlign w:val="center"/>
          </w:tcPr>
          <w:p w:rsidR="00CE5299" w:rsidRPr="00361DA2" w:rsidRDefault="00CE5299" w:rsidP="00CE5299">
            <w:pPr>
              <w:keepNext/>
              <w:keepLines/>
              <w:spacing w:before="120" w:after="120"/>
              <w:jc w:val="both"/>
              <w:rPr>
                <w:sz w:val="20"/>
                <w:szCs w:val="20"/>
              </w:rPr>
            </w:pPr>
            <w:r w:rsidRPr="00361DA2">
              <w:rPr>
                <w:sz w:val="20"/>
                <w:szCs w:val="20"/>
              </w:rPr>
              <w:t>Allard et Gauthier (2009)</w:t>
            </w:r>
          </w:p>
        </w:tc>
      </w:tr>
    </w:tbl>
    <w:p w:rsidR="00CE5299" w:rsidRPr="00361DA2" w:rsidRDefault="00CE5299" w:rsidP="00CE5299">
      <w:pPr>
        <w:keepNext/>
        <w:keepLines/>
        <w:spacing w:before="120" w:after="120"/>
        <w:jc w:val="both"/>
        <w:rPr>
          <w:sz w:val="20"/>
          <w:szCs w:val="20"/>
        </w:rPr>
      </w:pPr>
      <w:r w:rsidRPr="00361DA2">
        <w:rPr>
          <w:vertAlign w:val="superscript"/>
        </w:rPr>
        <w:t xml:space="preserve">* </w:t>
      </w:r>
      <w:r w:rsidRPr="00361DA2">
        <w:rPr>
          <w:sz w:val="20"/>
          <w:szCs w:val="20"/>
        </w:rPr>
        <w:t>Cycles retenus pour les derniers calculs de possibilité forestière, soient ceux de 2008-2013.</w:t>
      </w:r>
    </w:p>
    <w:p w:rsidR="00CE5299" w:rsidRPr="00361DA2" w:rsidRDefault="00F77507" w:rsidP="00CE5299">
      <w:pPr>
        <w:autoSpaceDE w:val="0"/>
        <w:autoSpaceDN w:val="0"/>
        <w:adjustRightInd w:val="0"/>
        <w:spacing w:before="120" w:after="120"/>
        <w:ind w:firstLine="1"/>
        <w:jc w:val="both"/>
        <w:rPr>
          <w:shd w:val="clear" w:color="auto" w:fill="FFFFFF"/>
        </w:rPr>
      </w:pPr>
      <w:r>
        <w:rPr>
          <w:shd w:val="clear" w:color="auto" w:fill="FFFFFF"/>
        </w:rPr>
        <w:br w:type="page"/>
      </w:r>
    </w:p>
    <w:p w:rsidR="00441B27" w:rsidRPr="00441B27" w:rsidRDefault="00CE5299" w:rsidP="00441B27">
      <w:pPr>
        <w:pStyle w:val="Titre4"/>
        <w:numPr>
          <w:ilvl w:val="3"/>
          <w:numId w:val="15"/>
        </w:numPr>
        <w:jc w:val="both"/>
        <w:rPr>
          <w:shd w:val="clear" w:color="auto" w:fill="FFFFFF"/>
        </w:rPr>
      </w:pPr>
      <w:r w:rsidRPr="00361DA2">
        <w:rPr>
          <w:shd w:val="clear" w:color="auto" w:fill="FFFFFF"/>
        </w:rPr>
        <w:t>Susceptibilité des peuplements</w:t>
      </w:r>
    </w:p>
    <w:p w:rsidR="00CE5299" w:rsidRDefault="00CE5299" w:rsidP="00CE5299">
      <w:pPr>
        <w:autoSpaceDE w:val="0"/>
        <w:autoSpaceDN w:val="0"/>
        <w:adjustRightInd w:val="0"/>
        <w:spacing w:before="120" w:after="120"/>
        <w:jc w:val="both"/>
        <w:rPr>
          <w:shd w:val="clear" w:color="auto" w:fill="FFFFFF"/>
        </w:rPr>
      </w:pPr>
      <w:r w:rsidRPr="00361DA2">
        <w:rPr>
          <w:shd w:val="clear" w:color="auto" w:fill="FFFFFF"/>
        </w:rPr>
        <w:t>La susceptibilité au feu varie d’un groupement d’essences à un autre. Ainsi, les forêts de résineux auraient un faible pourcentage de rétention (10%) comparé aux forêts de feuillus (36%). Les forêts mixtes ont un pourcentage de rétention intermédiaire basé sur l’importance relative de chacun des types de couvert. Dans une étude effectuée dans la forêt boréale mixte du domaine bioclimatique de la sapinière à bouleau jaune (Mauricie et Témiscamingue), Dragotescu (2008) arrive à des constats semblables avec une proportion de forêt</w:t>
      </w:r>
      <w:r w:rsidR="00C34D0A">
        <w:rPr>
          <w:shd w:val="clear" w:color="auto" w:fill="FFFFFF"/>
        </w:rPr>
        <w:t xml:space="preserve">s </w:t>
      </w:r>
      <w:r w:rsidRPr="00361DA2">
        <w:rPr>
          <w:shd w:val="clear" w:color="auto" w:fill="FFFFFF"/>
        </w:rPr>
        <w:t>résiduelle</w:t>
      </w:r>
      <w:r w:rsidR="00C34D0A">
        <w:rPr>
          <w:shd w:val="clear" w:color="auto" w:fill="FFFFFF"/>
        </w:rPr>
        <w:t xml:space="preserve">s </w:t>
      </w:r>
      <w:r w:rsidRPr="00361DA2">
        <w:rPr>
          <w:shd w:val="clear" w:color="auto" w:fill="FFFFFF"/>
        </w:rPr>
        <w:t xml:space="preserve">variant de 7,3 à 19,1%. La </w:t>
      </w:r>
      <w:r w:rsidR="00431F6B">
        <w:rPr>
          <w:shd w:val="clear" w:color="auto" w:fill="FFFFFF"/>
        </w:rPr>
        <w:fldChar w:fldCharType="begin"/>
      </w:r>
      <w:r w:rsidR="00431F6B">
        <w:rPr>
          <w:shd w:val="clear" w:color="auto" w:fill="FFFFFF"/>
        </w:rPr>
        <w:instrText xml:space="preserve"> REF _Ref483472154 \h </w:instrText>
      </w:r>
      <w:r w:rsidR="00431F6B">
        <w:rPr>
          <w:shd w:val="clear" w:color="auto" w:fill="FFFFFF"/>
        </w:rPr>
      </w:r>
      <w:r w:rsidR="00431F6B">
        <w:rPr>
          <w:shd w:val="clear" w:color="auto" w:fill="FFFFFF"/>
        </w:rPr>
        <w:fldChar w:fldCharType="separate"/>
      </w:r>
      <w:r w:rsidR="00241D60" w:rsidRPr="00361DA2">
        <w:t xml:space="preserve">Figure </w:t>
      </w:r>
      <w:r w:rsidR="00241D60">
        <w:rPr>
          <w:noProof/>
        </w:rPr>
        <w:t>2</w:t>
      </w:r>
      <w:r w:rsidR="00431F6B">
        <w:rPr>
          <w:shd w:val="clear" w:color="auto" w:fill="FFFFFF"/>
        </w:rPr>
        <w:fldChar w:fldCharType="end"/>
      </w:r>
      <w:r w:rsidR="00C34D0A">
        <w:rPr>
          <w:shd w:val="clear" w:color="auto" w:fill="FFFFFF"/>
        </w:rPr>
        <w:t xml:space="preserve"> p</w:t>
      </w:r>
      <w:r w:rsidRPr="00361DA2">
        <w:rPr>
          <w:shd w:val="clear" w:color="auto" w:fill="FFFFFF"/>
        </w:rPr>
        <w:t xml:space="preserve">résente le gradient de rétention observé </w:t>
      </w:r>
      <w:r w:rsidRPr="00D957AA">
        <w:rPr>
          <w:shd w:val="clear" w:color="auto" w:fill="FFFFFF"/>
        </w:rPr>
        <w:t>selon les différents groupements d’essence trouvés dans la région Grands</w:t>
      </w:r>
      <w:r w:rsidR="00C34D0A">
        <w:rPr>
          <w:shd w:val="clear" w:color="auto" w:fill="FFFFFF"/>
        </w:rPr>
        <w:t xml:space="preserve"> </w:t>
      </w:r>
      <w:r w:rsidRPr="00D957AA">
        <w:rPr>
          <w:shd w:val="clear" w:color="auto" w:fill="FFFFFF"/>
        </w:rPr>
        <w:t>Lacs Saint-Laurent.</w:t>
      </w:r>
    </w:p>
    <w:p w:rsidR="00F77507" w:rsidRDefault="00F77507" w:rsidP="00CE5299">
      <w:pPr>
        <w:autoSpaceDE w:val="0"/>
        <w:autoSpaceDN w:val="0"/>
        <w:adjustRightInd w:val="0"/>
        <w:spacing w:before="120" w:after="120"/>
        <w:jc w:val="both"/>
        <w:rPr>
          <w:shd w:val="clear" w:color="auto" w:fill="FFFFFF"/>
        </w:rPr>
      </w:pPr>
    </w:p>
    <w:tbl>
      <w:tblPr>
        <w:tblW w:w="0" w:type="auto"/>
        <w:tblInd w:w="1798" w:type="dxa"/>
        <w:tblLook w:val="04A0" w:firstRow="1" w:lastRow="0" w:firstColumn="1" w:lastColumn="0" w:noHBand="0" w:noVBand="1"/>
      </w:tblPr>
      <w:tblGrid>
        <w:gridCol w:w="7621"/>
      </w:tblGrid>
      <w:tr w:rsidR="00CE5299" w:rsidRPr="00361DA2" w:rsidTr="00F77507">
        <w:tc>
          <w:tcPr>
            <w:tcW w:w="7621" w:type="dxa"/>
            <w:shd w:val="clear" w:color="auto" w:fill="auto"/>
          </w:tcPr>
          <w:p w:rsidR="00CE5299" w:rsidRPr="00361DA2" w:rsidRDefault="00DB78FB" w:rsidP="00CE5299">
            <w:pPr>
              <w:autoSpaceDE w:val="0"/>
              <w:autoSpaceDN w:val="0"/>
              <w:adjustRightInd w:val="0"/>
              <w:spacing w:before="120" w:after="120"/>
              <w:jc w:val="both"/>
              <w:rPr>
                <w:sz w:val="20"/>
                <w:szCs w:val="20"/>
                <w:shd w:val="clear" w:color="auto" w:fill="FFFFFF"/>
              </w:rPr>
            </w:pPr>
            <w:r>
              <w:rPr>
                <w:noProof/>
                <w:lang w:val="fr-CA" w:eastAsia="fr-CA"/>
              </w:rPr>
              <mc:AlternateContent>
                <mc:Choice Requires="wps">
                  <w:drawing>
                    <wp:anchor distT="0" distB="0" distL="114300" distR="114300" simplePos="0" relativeHeight="251665408" behindDoc="0" locked="0" layoutInCell="1" allowOverlap="1">
                      <wp:simplePos x="0" y="0"/>
                      <wp:positionH relativeFrom="column">
                        <wp:posOffset>-356235</wp:posOffset>
                      </wp:positionH>
                      <wp:positionV relativeFrom="paragraph">
                        <wp:posOffset>22860</wp:posOffset>
                      </wp:positionV>
                      <wp:extent cx="285750" cy="1994535"/>
                      <wp:effectExtent l="38100" t="19050" r="38100" b="100965"/>
                      <wp:wrapNone/>
                      <wp:docPr id="9"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994535"/>
                              </a:xfrm>
                              <a:prstGeom prst="downArrow">
                                <a:avLst>
                                  <a:gd name="adj1" fmla="val 50000"/>
                                  <a:gd name="adj2" fmla="val 174500"/>
                                </a:avLst>
                              </a:prstGeom>
                              <a:solidFill>
                                <a:srgbClr val="000000"/>
                              </a:solidFill>
                              <a:ln w="38100">
                                <a:solidFill>
                                  <a:srgbClr val="F2F2F2"/>
                                </a:solidFill>
                                <a:miter lim="800000"/>
                                <a:headEnd/>
                                <a:tailEnd/>
                              </a:ln>
                              <a:effectLst>
                                <a:outerShdw dist="28398" dir="3806097" algn="ctr" rotWithShape="0">
                                  <a:srgbClr val="7F7F7F">
                                    <a:alpha val="50000"/>
                                  </a:srgbClr>
                                </a:outerShdw>
                              </a:effectLst>
                            </wps:spPr>
                            <wps:txbx>
                              <w:txbxContent>
                                <w:p w:rsidR="00F77507" w:rsidRDefault="00F77507" w:rsidP="00CE5299">
                                  <w:pPr>
                                    <w:jc w:val="center"/>
                                  </w:pP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 o:spid="_x0000_s1030" type="#_x0000_t67" style="position:absolute;left:0;text-align:left;margin-left:-28.05pt;margin-top:1.8pt;width:22.5pt;height:15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" fillcolor="black" strokecolor="#f2f2f2" strokeweight="3pt">
                      <v:shadow on="t" color="#7f7f7f" opacity=".5" offset="1pt"/>
                      <v:textbox style="layout-flow:vertical-ideographic">
                        <w:txbxContent>
                          <w:p w:rsidR="00F77507" w:rsidRDefault="00F77507" w:rsidP="00CE5299">
                            <w:pPr>
                              <w:jc w:val="center"/>
                            </w:pPr>
                          </w:p>
                        </w:txbxContent>
                      </v:textbox>
                    </v:shape>
                  </w:pict>
                </mc:Fallback>
              </mc:AlternateContent>
            </w:r>
            <w:r>
              <w:rPr>
                <w:noProof/>
                <w:lang w:val="fr-CA" w:eastAsia="fr-CA"/>
              </w:rPr>
              <mc:AlternateContent>
                <mc:Choice Requires="wps">
                  <w:drawing>
                    <wp:anchor distT="4294967295" distB="4294967295" distL="114300" distR="114300" simplePos="0" relativeHeight="251668480" behindDoc="0" locked="0" layoutInCell="1" allowOverlap="1">
                      <wp:simplePos x="0" y="0"/>
                      <wp:positionH relativeFrom="column">
                        <wp:posOffset>-1118235</wp:posOffset>
                      </wp:positionH>
                      <wp:positionV relativeFrom="paragraph">
                        <wp:posOffset>22859</wp:posOffset>
                      </wp:positionV>
                      <wp:extent cx="5972175" cy="0"/>
                      <wp:effectExtent l="0" t="0" r="28575" b="19050"/>
                      <wp:wrapNone/>
                      <wp:docPr id="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EF9B7D6" id="_x0000_t32" coordsize="21600,21600" o:spt="32" o:oned="t" path="m,l21600,21600e" filled="f">
                      <v:path arrowok="t" fillok="f" o:connecttype="none"/>
                      <o:lock v:ext="edit" shapetype="t"/>
                    </v:shapetype>
                    <v:shape id="AutoShape 6" o:spid="_x0000_s1026" type="#_x0000_t32" style="position:absolute;margin-left:-88.05pt;margin-top:1.8pt;width:470.25pt;height:0;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"/>
                  </w:pict>
                </mc:Fallback>
              </mc:AlternateContent>
            </w:r>
            <w:r>
              <w:rPr>
                <w:noProof/>
                <w:lang w:val="fr-CA" w:eastAsia="fr-CA"/>
              </w:rPr>
              <mc:AlternateContent>
                <mc:Choice Requires="wps">
                  <w:drawing>
                    <wp:anchor distT="0" distB="0" distL="114300" distR="114300" simplePos="0" relativeHeight="251666432" behindDoc="0" locked="0" layoutInCell="1" allowOverlap="1">
                      <wp:simplePos x="0" y="0"/>
                      <wp:positionH relativeFrom="column">
                        <wp:posOffset>-796290</wp:posOffset>
                      </wp:positionH>
                      <wp:positionV relativeFrom="paragraph">
                        <wp:posOffset>156210</wp:posOffset>
                      </wp:positionV>
                      <wp:extent cx="524510" cy="259080"/>
                      <wp:effectExtent l="0" t="0" r="8890" b="0"/>
                      <wp:wrapNone/>
                      <wp:docPr id="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259080"/>
                              </a:xfrm>
                              <a:prstGeom prst="rect">
                                <a:avLst/>
                              </a:prstGeom>
                              <a:solidFill>
                                <a:srgbClr val="FFFFFF"/>
                              </a:solidFill>
                              <a:ln>
                                <a:noFill/>
                              </a:ln>
                              <a:effectLst/>
                              <a:extLs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507" w:rsidRPr="00BA5952" w:rsidRDefault="00F77507" w:rsidP="00CE5299">
                                  <w:pPr>
                                    <w:rPr>
                                      <w:rFonts w:ascii="Arial" w:hAnsi="Arial" w:cs="Arial"/>
                                      <w:sz w:val="20"/>
                                      <w:szCs w:val="20"/>
                                    </w:rPr>
                                  </w:pPr>
                                  <w:r w:rsidRPr="00BA5952">
                                    <w:rPr>
                                      <w:rFonts w:ascii="Arial" w:hAnsi="Arial" w:cs="Arial"/>
                                      <w:sz w:val="20"/>
                                      <w:szCs w:val="20"/>
                                    </w:rPr>
                                    <w:t>10%</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Zone de texte 2" o:spid="_x0000_s1031" type="#_x0000_t202" style="position:absolute;left:0;text-align:left;margin-left:-62.7pt;margin-top:12.3pt;width:41.3pt;height:2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" stroked="f" strokeweight="1pt">
                      <v:stroke dashstyle="dash"/>
                      <v:shadow color="#868686"/>
                      <v:textbox style="mso-fit-shape-to-text:t">
                        <w:txbxContent>
                          <w:p w:rsidR="00F77507" w:rsidRPr="00BA5952" w:rsidRDefault="00F77507" w:rsidP="00CE5299">
                            <w:pPr>
                              <w:rPr>
                                <w:rFonts w:ascii="Arial" w:hAnsi="Arial" w:cs="Arial"/>
                                <w:sz w:val="20"/>
                                <w:szCs w:val="20"/>
                              </w:rPr>
                            </w:pPr>
                            <w:r w:rsidRPr="00BA5952">
                              <w:rPr>
                                <w:rFonts w:ascii="Arial" w:hAnsi="Arial" w:cs="Arial"/>
                                <w:sz w:val="20"/>
                                <w:szCs w:val="20"/>
                              </w:rPr>
                              <w:t>10%</w:t>
                            </w:r>
                          </w:p>
                        </w:txbxContent>
                      </v:textbox>
                    </v:shape>
                  </w:pict>
                </mc:Fallback>
              </mc:AlternateContent>
            </w:r>
            <w:r w:rsidR="00CE5299" w:rsidRPr="00361DA2">
              <w:rPr>
                <w:sz w:val="20"/>
                <w:szCs w:val="20"/>
                <w:shd w:val="clear" w:color="auto" w:fill="FFFFFF"/>
              </w:rPr>
              <w:t>Résineux - Hautes terres (Épinette, Pig, Sab)</w:t>
            </w:r>
          </w:p>
        </w:tc>
      </w:tr>
      <w:tr w:rsidR="00CE5299" w:rsidRPr="00361DA2" w:rsidTr="00F77507">
        <w:tc>
          <w:tcPr>
            <w:tcW w:w="7621" w:type="dxa"/>
            <w:shd w:val="clear" w:color="auto" w:fill="auto"/>
          </w:tcPr>
          <w:p w:rsidR="00CE5299" w:rsidRPr="00361DA2" w:rsidRDefault="00CE5299" w:rsidP="00CE5299">
            <w:pPr>
              <w:autoSpaceDE w:val="0"/>
              <w:autoSpaceDN w:val="0"/>
              <w:adjustRightInd w:val="0"/>
              <w:spacing w:before="120" w:after="120"/>
              <w:jc w:val="both"/>
              <w:rPr>
                <w:sz w:val="20"/>
                <w:szCs w:val="20"/>
                <w:shd w:val="clear" w:color="auto" w:fill="FFFFFF"/>
              </w:rPr>
            </w:pPr>
            <w:r w:rsidRPr="00361DA2">
              <w:rPr>
                <w:sz w:val="20"/>
                <w:szCs w:val="20"/>
                <w:shd w:val="clear" w:color="auto" w:fill="FFFFFF"/>
              </w:rPr>
              <w:t xml:space="preserve">Pins </w:t>
            </w:r>
            <w:r w:rsidRPr="00D957AA">
              <w:rPr>
                <w:sz w:val="20"/>
                <w:szCs w:val="20"/>
                <w:shd w:val="clear" w:color="auto" w:fill="FFFFFF"/>
              </w:rPr>
              <w:t>Grands Lacs – Saint-Laurent</w:t>
            </w:r>
            <w:r w:rsidRPr="00361DA2">
              <w:rPr>
                <w:sz w:val="20"/>
                <w:szCs w:val="20"/>
                <w:shd w:val="clear" w:color="auto" w:fill="FFFFFF"/>
              </w:rPr>
              <w:t xml:space="preserve"> (Pib, Pir)</w:t>
            </w:r>
          </w:p>
        </w:tc>
      </w:tr>
      <w:tr w:rsidR="00CE5299" w:rsidRPr="00361DA2" w:rsidTr="00F77507">
        <w:tc>
          <w:tcPr>
            <w:tcW w:w="7621" w:type="dxa"/>
            <w:shd w:val="clear" w:color="auto" w:fill="auto"/>
          </w:tcPr>
          <w:p w:rsidR="00CE5299" w:rsidRPr="00361DA2" w:rsidRDefault="00CE5299" w:rsidP="00CE5299">
            <w:pPr>
              <w:autoSpaceDE w:val="0"/>
              <w:autoSpaceDN w:val="0"/>
              <w:adjustRightInd w:val="0"/>
              <w:spacing w:before="120" w:after="120"/>
              <w:jc w:val="both"/>
              <w:rPr>
                <w:sz w:val="20"/>
                <w:szCs w:val="20"/>
                <w:shd w:val="clear" w:color="auto" w:fill="FFFFFF"/>
              </w:rPr>
            </w:pPr>
            <w:r w:rsidRPr="00361DA2">
              <w:rPr>
                <w:sz w:val="20"/>
                <w:szCs w:val="20"/>
                <w:shd w:val="clear" w:color="auto" w:fill="FFFFFF"/>
              </w:rPr>
              <w:t xml:space="preserve">Mélangé </w:t>
            </w:r>
            <w:r w:rsidRPr="00D957AA">
              <w:rPr>
                <w:sz w:val="20"/>
                <w:szCs w:val="20"/>
                <w:shd w:val="clear" w:color="auto" w:fill="FFFFFF"/>
              </w:rPr>
              <w:t>Grands Lacs – Saint-Laurent</w:t>
            </w:r>
            <w:r w:rsidRPr="00361DA2">
              <w:rPr>
                <w:sz w:val="20"/>
                <w:szCs w:val="20"/>
                <w:shd w:val="clear" w:color="auto" w:fill="FFFFFF"/>
              </w:rPr>
              <w:t xml:space="preserve"> (Pin, Sapin, Mélèze, Bouleau, Chêne)</w:t>
            </w:r>
          </w:p>
        </w:tc>
      </w:tr>
      <w:tr w:rsidR="00CE5299" w:rsidRPr="00361DA2" w:rsidTr="00F77507">
        <w:tc>
          <w:tcPr>
            <w:tcW w:w="7621" w:type="dxa"/>
            <w:shd w:val="clear" w:color="auto" w:fill="auto"/>
          </w:tcPr>
          <w:p w:rsidR="00CE5299" w:rsidRPr="00361DA2" w:rsidRDefault="00CE5299" w:rsidP="00CE5299">
            <w:pPr>
              <w:autoSpaceDE w:val="0"/>
              <w:autoSpaceDN w:val="0"/>
              <w:adjustRightInd w:val="0"/>
              <w:spacing w:before="120" w:after="120"/>
              <w:jc w:val="both"/>
              <w:rPr>
                <w:sz w:val="20"/>
                <w:szCs w:val="20"/>
                <w:shd w:val="clear" w:color="auto" w:fill="FFFFFF"/>
              </w:rPr>
            </w:pPr>
            <w:r w:rsidRPr="00361DA2">
              <w:rPr>
                <w:sz w:val="20"/>
                <w:szCs w:val="20"/>
                <w:shd w:val="clear" w:color="auto" w:fill="FFFFFF"/>
              </w:rPr>
              <w:t>Résineux – Basses terres (Épinette, Tho, Mel)</w:t>
            </w:r>
          </w:p>
        </w:tc>
      </w:tr>
      <w:tr w:rsidR="00CE5299" w:rsidRPr="00361DA2" w:rsidTr="00F77507">
        <w:tc>
          <w:tcPr>
            <w:tcW w:w="7621" w:type="dxa"/>
            <w:shd w:val="clear" w:color="auto" w:fill="auto"/>
          </w:tcPr>
          <w:p w:rsidR="00CE5299" w:rsidRPr="00361DA2" w:rsidRDefault="00CE5299" w:rsidP="00CE5299">
            <w:pPr>
              <w:autoSpaceDE w:val="0"/>
              <w:autoSpaceDN w:val="0"/>
              <w:adjustRightInd w:val="0"/>
              <w:spacing w:before="120" w:after="120"/>
              <w:jc w:val="both"/>
              <w:rPr>
                <w:sz w:val="20"/>
                <w:szCs w:val="20"/>
                <w:shd w:val="clear" w:color="auto" w:fill="FFFFFF"/>
              </w:rPr>
            </w:pPr>
            <w:r w:rsidRPr="00361DA2">
              <w:rPr>
                <w:sz w:val="20"/>
                <w:szCs w:val="20"/>
                <w:shd w:val="clear" w:color="auto" w:fill="FFFFFF"/>
              </w:rPr>
              <w:t xml:space="preserve">Mélangé – </w:t>
            </w:r>
            <w:r w:rsidRPr="00D957AA">
              <w:rPr>
                <w:sz w:val="20"/>
                <w:szCs w:val="20"/>
                <w:shd w:val="clear" w:color="auto" w:fill="FFFFFF"/>
              </w:rPr>
              <w:t>Boréal</w:t>
            </w:r>
          </w:p>
        </w:tc>
      </w:tr>
      <w:tr w:rsidR="00CE5299" w:rsidRPr="00361DA2" w:rsidTr="00F77507">
        <w:tc>
          <w:tcPr>
            <w:tcW w:w="7621" w:type="dxa"/>
            <w:shd w:val="clear" w:color="auto" w:fill="auto"/>
          </w:tcPr>
          <w:p w:rsidR="00CE5299" w:rsidRPr="00361DA2" w:rsidRDefault="00DB78FB" w:rsidP="00CE5299">
            <w:pPr>
              <w:autoSpaceDE w:val="0"/>
              <w:autoSpaceDN w:val="0"/>
              <w:adjustRightInd w:val="0"/>
              <w:spacing w:before="120" w:after="120"/>
              <w:jc w:val="both"/>
              <w:rPr>
                <w:sz w:val="20"/>
                <w:szCs w:val="20"/>
                <w:shd w:val="clear" w:color="auto" w:fill="FFFFFF"/>
              </w:rPr>
            </w:pPr>
            <w:r>
              <w:rPr>
                <w:noProof/>
                <w:lang w:val="fr-CA" w:eastAsia="fr-CA"/>
              </w:rPr>
              <mc:AlternateContent>
                <mc:Choice Requires="wps">
                  <w:drawing>
                    <wp:anchor distT="0" distB="0" distL="114300" distR="114300" simplePos="0" relativeHeight="251667456" behindDoc="0" locked="0" layoutInCell="1" allowOverlap="1">
                      <wp:simplePos x="0" y="0"/>
                      <wp:positionH relativeFrom="column">
                        <wp:posOffset>-767715</wp:posOffset>
                      </wp:positionH>
                      <wp:positionV relativeFrom="paragraph">
                        <wp:posOffset>115570</wp:posOffset>
                      </wp:positionV>
                      <wp:extent cx="478790" cy="259080"/>
                      <wp:effectExtent l="0" t="0" r="0" b="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259080"/>
                              </a:xfrm>
                              <a:prstGeom prst="rect">
                                <a:avLst/>
                              </a:prstGeom>
                              <a:solidFill>
                                <a:srgbClr val="FFFFFF"/>
                              </a:solidFill>
                              <a:ln>
                                <a:noFill/>
                              </a:ln>
                              <a:effectLst/>
                              <a:extLst>
                                <a:ext uri="{91240B29-F687-4F45-9708-019B960494DF}">
                                  <a14:hiddenLine xmlns:a14="http://schemas.microsoft.com/office/drawing/2010/main" w="12700">
                                    <a:solidFill>
                                      <a:srgbClr val="000000"/>
                                    </a:solidFill>
                                    <a:prstDash val="dash"/>
                                    <a:miter lim="800000"/>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77507" w:rsidRPr="00BA5952" w:rsidRDefault="00F77507" w:rsidP="00CE5299">
                                  <w:pPr>
                                    <w:rPr>
                                      <w:rFonts w:ascii="Arial" w:hAnsi="Arial" w:cs="Arial"/>
                                      <w:sz w:val="20"/>
                                      <w:szCs w:val="20"/>
                                    </w:rPr>
                                  </w:pPr>
                                  <w:r w:rsidRPr="00BA5952">
                                    <w:rPr>
                                      <w:rFonts w:ascii="Arial" w:hAnsi="Arial" w:cs="Arial"/>
                                      <w:sz w:val="20"/>
                                      <w:szCs w:val="20"/>
                                    </w:rPr>
                                    <w:t>36%</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left:0;text-align:left;margin-left:-60.45pt;margin-top:9.1pt;width:37.7pt;height:20.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" stroked="f" strokeweight="1pt">
                      <v:stroke dashstyle="dash"/>
                      <v:shadow color="#868686"/>
                      <v:textbox style="mso-fit-shape-to-text:t">
                        <w:txbxContent>
                          <w:p w:rsidR="00F77507" w:rsidRPr="00BA5952" w:rsidRDefault="00F77507" w:rsidP="00CE5299">
                            <w:pPr>
                              <w:rPr>
                                <w:rFonts w:ascii="Arial" w:hAnsi="Arial" w:cs="Arial"/>
                                <w:sz w:val="20"/>
                                <w:szCs w:val="20"/>
                              </w:rPr>
                            </w:pPr>
                            <w:r w:rsidRPr="00BA5952">
                              <w:rPr>
                                <w:rFonts w:ascii="Arial" w:hAnsi="Arial" w:cs="Arial"/>
                                <w:sz w:val="20"/>
                                <w:szCs w:val="20"/>
                              </w:rPr>
                              <w:t>36%</w:t>
                            </w:r>
                          </w:p>
                        </w:txbxContent>
                      </v:textbox>
                    </v:shape>
                  </w:pict>
                </mc:Fallback>
              </mc:AlternateContent>
            </w:r>
            <w:r w:rsidR="00CE5299" w:rsidRPr="00361DA2">
              <w:rPr>
                <w:sz w:val="20"/>
                <w:szCs w:val="20"/>
                <w:shd w:val="clear" w:color="auto" w:fill="FFFFFF"/>
              </w:rPr>
              <w:t>Feuillu</w:t>
            </w:r>
            <w:r w:rsidR="00CE5299">
              <w:rPr>
                <w:sz w:val="20"/>
                <w:szCs w:val="20"/>
                <w:shd w:val="clear" w:color="auto" w:fill="FFFFFF"/>
              </w:rPr>
              <w:t>s</w:t>
            </w:r>
            <w:r w:rsidR="00CE5299" w:rsidRPr="00361DA2">
              <w:rPr>
                <w:sz w:val="20"/>
                <w:szCs w:val="20"/>
                <w:shd w:val="clear" w:color="auto" w:fill="FFFFFF"/>
              </w:rPr>
              <w:t xml:space="preserve"> intolérant</w:t>
            </w:r>
            <w:r w:rsidR="00CE5299">
              <w:rPr>
                <w:sz w:val="20"/>
                <w:szCs w:val="20"/>
                <w:shd w:val="clear" w:color="auto" w:fill="FFFFFF"/>
              </w:rPr>
              <w:t>s</w:t>
            </w:r>
            <w:r w:rsidR="00CE5299" w:rsidRPr="00361DA2">
              <w:rPr>
                <w:sz w:val="20"/>
                <w:szCs w:val="20"/>
                <w:shd w:val="clear" w:color="auto" w:fill="FFFFFF"/>
              </w:rPr>
              <w:t xml:space="preserve"> (Peuplier, Bop)</w:t>
            </w:r>
          </w:p>
        </w:tc>
      </w:tr>
      <w:tr w:rsidR="00CE5299" w:rsidRPr="00361DA2" w:rsidTr="00F77507">
        <w:tc>
          <w:tcPr>
            <w:tcW w:w="7621" w:type="dxa"/>
            <w:shd w:val="clear" w:color="auto" w:fill="auto"/>
          </w:tcPr>
          <w:p w:rsidR="00CE5299" w:rsidRPr="00361DA2" w:rsidRDefault="00CE5299" w:rsidP="00CE5299">
            <w:pPr>
              <w:autoSpaceDE w:val="0"/>
              <w:autoSpaceDN w:val="0"/>
              <w:adjustRightInd w:val="0"/>
              <w:spacing w:before="120" w:after="120"/>
              <w:jc w:val="both"/>
              <w:rPr>
                <w:sz w:val="20"/>
                <w:szCs w:val="20"/>
                <w:shd w:val="clear" w:color="auto" w:fill="FFFFFF"/>
              </w:rPr>
            </w:pPr>
            <w:r w:rsidRPr="00361DA2">
              <w:rPr>
                <w:sz w:val="20"/>
                <w:szCs w:val="20"/>
                <w:shd w:val="clear" w:color="auto" w:fill="FFFFFF"/>
              </w:rPr>
              <w:t>Feuillu</w:t>
            </w:r>
            <w:r>
              <w:rPr>
                <w:sz w:val="20"/>
                <w:szCs w:val="20"/>
                <w:shd w:val="clear" w:color="auto" w:fill="FFFFFF"/>
              </w:rPr>
              <w:t>s</w:t>
            </w:r>
            <w:r w:rsidRPr="00361DA2">
              <w:rPr>
                <w:sz w:val="20"/>
                <w:szCs w:val="20"/>
                <w:shd w:val="clear" w:color="auto" w:fill="FFFFFF"/>
              </w:rPr>
              <w:t xml:space="preserve"> tolérant</w:t>
            </w:r>
            <w:r>
              <w:rPr>
                <w:sz w:val="20"/>
                <w:szCs w:val="20"/>
                <w:shd w:val="clear" w:color="auto" w:fill="FFFFFF"/>
              </w:rPr>
              <w:t>s</w:t>
            </w:r>
            <w:r w:rsidRPr="00361DA2">
              <w:rPr>
                <w:sz w:val="20"/>
                <w:szCs w:val="20"/>
                <w:shd w:val="clear" w:color="auto" w:fill="FFFFFF"/>
              </w:rPr>
              <w:t xml:space="preserve"> (Ers, Heg, Chêne)</w:t>
            </w:r>
          </w:p>
        </w:tc>
      </w:tr>
    </w:tbl>
    <w:p w:rsidR="00CE5299" w:rsidRPr="00361DA2" w:rsidRDefault="00DB78FB" w:rsidP="00CE5299">
      <w:pPr>
        <w:pStyle w:val="Lgende"/>
        <w:spacing w:before="120" w:after="120"/>
        <w:jc w:val="both"/>
        <w:rPr>
          <w:shd w:val="clear" w:color="auto" w:fill="FFFFFF"/>
        </w:rPr>
      </w:pPr>
      <w:bookmarkStart w:id="27" w:name="_Ref483472154"/>
      <w:bookmarkStart w:id="28" w:name="_Toc421716913"/>
      <w:bookmarkStart w:id="29" w:name="_Ref483472126"/>
      <w:bookmarkStart w:id="30" w:name="_Ref483472146"/>
      <w:bookmarkStart w:id="31" w:name="_Toc484513480"/>
      <w:r>
        <w:rPr>
          <w:noProof/>
          <w:sz w:val="24"/>
          <w:szCs w:val="24"/>
          <w:lang w:val="fr-CA" w:eastAsia="fr-CA"/>
        </w:rPr>
        <mc:AlternateContent>
          <mc:Choice Requires="wps">
            <w:drawing>
              <wp:anchor distT="4294967295" distB="4294967295" distL="114300" distR="114300" simplePos="0" relativeHeight="251669504" behindDoc="0" locked="0" layoutInCell="1" allowOverlap="1">
                <wp:simplePos x="0" y="0"/>
                <wp:positionH relativeFrom="column">
                  <wp:posOffset>137795</wp:posOffset>
                </wp:positionH>
                <wp:positionV relativeFrom="paragraph">
                  <wp:posOffset>14604</wp:posOffset>
                </wp:positionV>
                <wp:extent cx="5972175" cy="0"/>
                <wp:effectExtent l="0" t="0" r="28575" b="1905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2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6482B5" id="AutoShape 7" o:spid="_x0000_s1026" type="#_x0000_t32" style="position:absolute;margin-left:10.85pt;margin-top:1.15pt;width:470.25pt;height:0;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VlzHQIAADs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"/>
            </w:pict>
          </mc:Fallback>
        </mc:AlternateContent>
      </w:r>
      <w:r w:rsidR="00CE5299" w:rsidRPr="00361DA2">
        <w:t xml:space="preserve">Figure </w:t>
      </w:r>
      <w:r w:rsidR="00FD33B5">
        <w:fldChar w:fldCharType="begin"/>
      </w:r>
      <w:r w:rsidR="00FD33B5">
        <w:instrText xml:space="preserve"> SEQ Figure \* ARABIC </w:instrText>
      </w:r>
      <w:r w:rsidR="00FD33B5">
        <w:fldChar w:fldCharType="separate"/>
      </w:r>
      <w:r w:rsidR="00241D60">
        <w:rPr>
          <w:noProof/>
        </w:rPr>
        <w:t>2</w:t>
      </w:r>
      <w:r w:rsidR="00FD33B5">
        <w:rPr>
          <w:noProof/>
        </w:rPr>
        <w:fldChar w:fldCharType="end"/>
      </w:r>
      <w:bookmarkEnd w:id="27"/>
      <w:r w:rsidR="00CE5299" w:rsidRPr="00361DA2">
        <w:t>. Groupements d'essences les moins et les plus susceptibles de demeurer vivant sur pied suite au passage d'un feu (traduit de OMNR, 2001)</w:t>
      </w:r>
      <w:bookmarkEnd w:id="28"/>
      <w:bookmarkEnd w:id="29"/>
      <w:bookmarkEnd w:id="30"/>
      <w:bookmarkEnd w:id="31"/>
    </w:p>
    <w:p w:rsidR="00CE5299" w:rsidRDefault="00CE5299" w:rsidP="00CE5299">
      <w:pPr>
        <w:autoSpaceDE w:val="0"/>
        <w:autoSpaceDN w:val="0"/>
        <w:adjustRightInd w:val="0"/>
        <w:spacing w:before="120" w:after="120"/>
        <w:jc w:val="both"/>
        <w:rPr>
          <w:shd w:val="clear" w:color="auto" w:fill="FFFFFF"/>
        </w:rPr>
      </w:pPr>
    </w:p>
    <w:p w:rsidR="00CE5299" w:rsidRPr="00361DA2" w:rsidRDefault="00CE5299" w:rsidP="00CE5299">
      <w:pPr>
        <w:autoSpaceDE w:val="0"/>
        <w:autoSpaceDN w:val="0"/>
        <w:adjustRightInd w:val="0"/>
        <w:spacing w:before="120" w:after="120"/>
        <w:jc w:val="both"/>
        <w:rPr>
          <w:shd w:val="clear" w:color="auto" w:fill="FFFFFF"/>
        </w:rPr>
      </w:pPr>
      <w:r w:rsidRPr="00361DA2">
        <w:rPr>
          <w:shd w:val="clear" w:color="auto" w:fill="FFFFFF"/>
        </w:rPr>
        <w:t>Dans le même ordre d’idée, la susceptibilité au feu varie d’une essence à une autre, le sapin baumier étant le moins résistant et les pins blancs et rouges les plus résistants au passage d’un feu.</w:t>
      </w:r>
    </w:p>
    <w:p w:rsidR="00CE5299" w:rsidRPr="00361DA2" w:rsidRDefault="00CE5299" w:rsidP="00CE5299">
      <w:pPr>
        <w:autoSpaceDE w:val="0"/>
        <w:autoSpaceDN w:val="0"/>
        <w:adjustRightInd w:val="0"/>
        <w:spacing w:before="120" w:after="120"/>
        <w:jc w:val="both"/>
        <w:rPr>
          <w:shd w:val="clear" w:color="auto" w:fill="FFFFFF"/>
        </w:rPr>
      </w:pPr>
      <w:r w:rsidRPr="00361DA2">
        <w:rPr>
          <w:shd w:val="clear" w:color="auto" w:fill="FFFFFF"/>
        </w:rPr>
        <w:t xml:space="preserve">Sab &lt; Épinette </w:t>
      </w:r>
      <w:r>
        <w:rPr>
          <w:shd w:val="clear" w:color="auto" w:fill="FFFFFF"/>
        </w:rPr>
        <w:t>–</w:t>
      </w:r>
      <w:r w:rsidRPr="00361DA2">
        <w:rPr>
          <w:shd w:val="clear" w:color="auto" w:fill="FFFFFF"/>
        </w:rPr>
        <w:t xml:space="preserve"> Hautes terres</w:t>
      </w:r>
      <w:r>
        <w:rPr>
          <w:shd w:val="clear" w:color="auto" w:fill="FFFFFF"/>
        </w:rPr>
        <w:t>*</w:t>
      </w:r>
      <w:r w:rsidRPr="00361DA2">
        <w:rPr>
          <w:shd w:val="clear" w:color="auto" w:fill="FFFFFF"/>
        </w:rPr>
        <w:t>\Pig &lt; Bop &lt; Épinette - Basses terres</w:t>
      </w:r>
      <w:r>
        <w:rPr>
          <w:shd w:val="clear" w:color="auto" w:fill="FFFFFF"/>
        </w:rPr>
        <w:t>**</w:t>
      </w:r>
      <w:r w:rsidRPr="00361DA2">
        <w:rPr>
          <w:shd w:val="clear" w:color="auto" w:fill="FFFFFF"/>
        </w:rPr>
        <w:t xml:space="preserve"> &lt; Peuplier\Ers\Heg\Chêne &lt; Pib\Pir (vétérans)</w:t>
      </w:r>
    </w:p>
    <w:p w:rsidR="00CE5299" w:rsidRPr="00D957AA" w:rsidRDefault="00CE5299" w:rsidP="00CE5299">
      <w:pPr>
        <w:spacing w:before="120" w:after="120"/>
        <w:jc w:val="both"/>
      </w:pPr>
      <w:r>
        <w:t xml:space="preserve">* </w:t>
      </w:r>
      <w:r w:rsidRPr="00D957AA">
        <w:t>peuplements situé</w:t>
      </w:r>
      <w:r w:rsidR="00C34D0A">
        <w:t xml:space="preserve">s </w:t>
      </w:r>
      <w:r w:rsidRPr="00D957AA">
        <w:t>sur les sommets et le haut des pentes</w:t>
      </w:r>
    </w:p>
    <w:p w:rsidR="00CE5299" w:rsidRDefault="00CE5299" w:rsidP="00CE5299">
      <w:pPr>
        <w:spacing w:before="120" w:after="120"/>
        <w:jc w:val="both"/>
      </w:pPr>
      <w:r w:rsidRPr="00D957AA">
        <w:t xml:space="preserve">** peuplements situés dans les fonds de vallées </w:t>
      </w:r>
    </w:p>
    <w:p w:rsidR="00CE5299" w:rsidRDefault="00CE5299" w:rsidP="00CE5299">
      <w:pPr>
        <w:spacing w:before="120" w:after="120"/>
        <w:jc w:val="both"/>
      </w:pPr>
    </w:p>
    <w:p w:rsidR="00CE5299" w:rsidRPr="00361DA2" w:rsidRDefault="00CE5299" w:rsidP="00CE5299">
      <w:pPr>
        <w:spacing w:before="120" w:after="120"/>
        <w:jc w:val="both"/>
      </w:pPr>
      <w:r w:rsidRPr="00361DA2">
        <w:t xml:space="preserve">Les feux favorisent les espèces possédant des mécanismes ou des caractéristiques de résistance au feu. En effet, en l’absence de plantation, la régénération qui s’installe après perturbation est généralement composée de feuillus intolérants (Dragotescu 2008).  </w:t>
      </w:r>
    </w:p>
    <w:p w:rsidR="00CE5299" w:rsidRPr="00361DA2" w:rsidRDefault="00CE5299" w:rsidP="00CE5299">
      <w:pPr>
        <w:spacing w:before="120" w:after="120"/>
        <w:jc w:val="both"/>
      </w:pPr>
      <w:r w:rsidRPr="00361DA2">
        <w:t xml:space="preserve">Pour l’érablière à bouleau jaune, l’étude de Drever et </w:t>
      </w:r>
      <w:r w:rsidRPr="00B76694">
        <w:rPr>
          <w:i/>
        </w:rPr>
        <w:t>al</w:t>
      </w:r>
      <w:r>
        <w:t>.</w:t>
      </w:r>
      <w:r w:rsidRPr="00361DA2">
        <w:t xml:space="preserve"> (2006) permet d’arriver au constat que la faible fréquence observé</w:t>
      </w:r>
      <w:r>
        <w:t>e</w:t>
      </w:r>
      <w:r w:rsidRPr="00361DA2">
        <w:t xml:space="preserve"> des grands feux ait une incidence sur la présence des espèces et des communautés adapté</w:t>
      </w:r>
      <w:r>
        <w:t>e</w:t>
      </w:r>
      <w:r w:rsidRPr="00361DA2">
        <w:t>s aux feux.  En effet, plus l’intervalle de récurrence</w:t>
      </w:r>
      <w:r>
        <w:t xml:space="preserve"> </w:t>
      </w:r>
      <w:r w:rsidRPr="00361DA2">
        <w:t>est long</w:t>
      </w:r>
      <w:r>
        <w:t>,</w:t>
      </w:r>
      <w:r w:rsidRPr="00361DA2">
        <w:t xml:space="preserve"> plus les espèces telles l’érable à sucre et la pruche sont favorisé</w:t>
      </w:r>
      <w:r>
        <w:t>es</w:t>
      </w:r>
      <w:r w:rsidRPr="00361DA2">
        <w:t xml:space="preserve"> au détriment de</w:t>
      </w:r>
      <w:r>
        <w:t xml:space="preserve"> celles</w:t>
      </w:r>
      <w:r w:rsidRPr="00361DA2">
        <w:t xml:space="preserve"> adapté</w:t>
      </w:r>
      <w:r>
        <w:t>es</w:t>
      </w:r>
      <w:r w:rsidRPr="00361DA2">
        <w:t xml:space="preserve"> au</w:t>
      </w:r>
      <w:r>
        <w:t>x</w:t>
      </w:r>
      <w:r w:rsidRPr="00361DA2">
        <w:t xml:space="preserve"> feux tel</w:t>
      </w:r>
      <w:r w:rsidR="00C34D0A">
        <w:t xml:space="preserve">s </w:t>
      </w:r>
      <w:r w:rsidRPr="00361DA2">
        <w:t xml:space="preserve">le pin. </w:t>
      </w:r>
      <w:r>
        <w:t xml:space="preserve">Dans l’érablière à bouleau jaune du Témiscamingue, Roy et al. (2010) notent que des feux brûlant entre 20 et 80% de la superficie augmentent la proportion de feuillus intolérants de 8 à 30%, ainsi que la proportion de peuplements résineux de 12 à 18%, comparativement à l’absence de feux. </w:t>
      </w:r>
    </w:p>
    <w:p w:rsidR="006A4F59" w:rsidRPr="006A4F59" w:rsidRDefault="00CE5299" w:rsidP="006A4F59">
      <w:pPr>
        <w:pStyle w:val="Titre3"/>
        <w:numPr>
          <w:ilvl w:val="2"/>
          <w:numId w:val="15"/>
        </w:numPr>
        <w:spacing w:before="120" w:after="120"/>
        <w:jc w:val="both"/>
      </w:pPr>
      <w:bookmarkStart w:id="32" w:name="_Toc303235067"/>
      <w:bookmarkStart w:id="33" w:name="_Toc422129802"/>
      <w:bookmarkStart w:id="34" w:name="_Toc484513468"/>
      <w:bookmarkStart w:id="35" w:name="_Toc233775132"/>
      <w:r w:rsidRPr="00361DA2">
        <w:t>Insectes et maladies</w:t>
      </w:r>
      <w:bookmarkEnd w:id="32"/>
      <w:bookmarkEnd w:id="33"/>
      <w:bookmarkEnd w:id="34"/>
    </w:p>
    <w:p w:rsidR="00CE5299" w:rsidRPr="00361DA2" w:rsidRDefault="00CE5299" w:rsidP="00CE5299">
      <w:pPr>
        <w:autoSpaceDE w:val="0"/>
        <w:autoSpaceDN w:val="0"/>
        <w:adjustRightInd w:val="0"/>
        <w:spacing w:before="120" w:after="120"/>
        <w:jc w:val="both"/>
      </w:pPr>
      <w:r w:rsidRPr="00361DA2">
        <w:t>Plusieurs insectes jouent aussi un rôle dans la dynamique forestière des sous-domaines de la sapinière à bouleau jaune et l’érablière à bouleau jaune de l’Ouest et de l’Est. Après les feux, les épidémies de tordeuse des bourgeons de l’épinette (</w:t>
      </w:r>
      <w:r w:rsidRPr="00361DA2">
        <w:rPr>
          <w:i/>
        </w:rPr>
        <w:t>Choristoneura fumiferana</w:t>
      </w:r>
      <w:r w:rsidRPr="00361DA2">
        <w:t xml:space="preserve">) représentent la </w:t>
      </w:r>
      <w:r w:rsidRPr="00D957AA">
        <w:t>perturbation secondaire dominante sur ces territoires</w:t>
      </w:r>
      <w:r w:rsidRPr="00361DA2">
        <w:t xml:space="preserve"> (Dallaire et Légaré 2011 ; CFHL 2008), </w:t>
      </w:r>
      <w:r w:rsidRPr="00361DA2">
        <w:rPr>
          <w:lang w:val="fr-CA" w:eastAsia="fr-CA"/>
        </w:rPr>
        <w:t xml:space="preserve">le sapin étant plus vulnérable à l’attaque de cet insecte que l’épinette (Morin </w:t>
      </w:r>
      <w:r w:rsidRPr="00361DA2">
        <w:rPr>
          <w:i/>
          <w:iCs/>
          <w:lang w:val="fr-CA" w:eastAsia="fr-CA"/>
        </w:rPr>
        <w:t xml:space="preserve">et al. </w:t>
      </w:r>
      <w:r w:rsidRPr="00361DA2">
        <w:rPr>
          <w:lang w:val="fr-CA" w:eastAsia="fr-CA"/>
        </w:rPr>
        <w:t>2008).</w:t>
      </w:r>
      <w:r>
        <w:rPr>
          <w:lang w:val="fr-CA" w:eastAsia="fr-CA"/>
        </w:rPr>
        <w:t xml:space="preserve"> Bien q</w:t>
      </w:r>
      <w:r w:rsidRPr="00361DA2">
        <w:rPr>
          <w:lang w:val="fr-CA" w:eastAsia="fr-CA"/>
        </w:rPr>
        <w:t>u’ayant un impact moindre que les épidémies de tordeuse des bourgeons de l’épinette (TBE), l</w:t>
      </w:r>
      <w:r w:rsidRPr="00361DA2">
        <w:t>es épidémies de livrée des forêts (</w:t>
      </w:r>
      <w:r w:rsidRPr="00361DA2">
        <w:rPr>
          <w:i/>
        </w:rPr>
        <w:t>Malacosoma disstria</w:t>
      </w:r>
      <w:r w:rsidRPr="00361DA2">
        <w:t xml:space="preserve"> Hbn.) ont également un impact négatif sur la croissance dans les peuplements affectés. Dans une moindre mesure, la mouche à scie du mélèze </w:t>
      </w:r>
      <w:r w:rsidRPr="00361DA2">
        <w:rPr>
          <w:i/>
        </w:rPr>
        <w:t xml:space="preserve">(Pristiphara erichsonii </w:t>
      </w:r>
      <w:r w:rsidRPr="00361DA2">
        <w:t>Htg.), le charançon du pin blanc (</w:t>
      </w:r>
      <w:r w:rsidRPr="00361DA2">
        <w:rPr>
          <w:i/>
          <w:iCs/>
        </w:rPr>
        <w:t xml:space="preserve">Pissodes strobi </w:t>
      </w:r>
      <w:r w:rsidRPr="00361DA2">
        <w:t>Peck), la rouille vésiculeuse du pin blanc (</w:t>
      </w:r>
      <w:r w:rsidRPr="00361DA2">
        <w:rPr>
          <w:i/>
          <w:iCs/>
        </w:rPr>
        <w:t>Cronartium ribicola</w:t>
      </w:r>
      <w:r w:rsidRPr="00361DA2">
        <w:t> J. C. Fisch.) et l’arpenteuse de la pruche (</w:t>
      </w:r>
      <w:r w:rsidRPr="00361DA2">
        <w:rPr>
          <w:i/>
          <w:iCs/>
        </w:rPr>
        <w:t>Lambdina fiscellaria fiscellaria </w:t>
      </w:r>
      <w:r w:rsidRPr="00361DA2">
        <w:t xml:space="preserve">(Guen.) peuvent aussi occasionner certains dommages aux peuplements infestés (Dallaire et Légaré 2011 ; Nolet et </w:t>
      </w:r>
      <w:r w:rsidRPr="00361DA2">
        <w:rPr>
          <w:i/>
        </w:rPr>
        <w:t>al.</w:t>
      </w:r>
      <w:r w:rsidRPr="00361DA2">
        <w:t xml:space="preserve"> 2001).</w:t>
      </w:r>
    </w:p>
    <w:p w:rsidR="00CE5299" w:rsidRPr="00361DA2" w:rsidRDefault="00CE5299" w:rsidP="00CE5299">
      <w:pPr>
        <w:spacing w:before="120" w:after="120"/>
        <w:jc w:val="both"/>
      </w:pPr>
      <w:r w:rsidRPr="00361DA2">
        <w:t xml:space="preserve">En effet, les insectes défoliateurs causent une réduction de la croissance des arbres et parfois les épidémies peuvent s’avérer assez sévères pour causer la mort de plusieurs individus. Puisque les insectes défoliateurs sont spécifiques quant aux espèces d’arbres qu’ils attaquent pour s’alimenter, les épidémies d’insectes peuvent avoir une incidence sur la composition des peuplements en causant la mort de certains individus (Doyon et Sougavinski 2002). La dynamique du peuplement peut aussi être affectée par la création de trouées dans la canopée, trouées qui favorisent temporairement la croissance des individus en sous-étage. Aussi, contrairement aux chablis, les épidémies d’insectes ont tendance à créer des </w:t>
      </w:r>
      <w:r w:rsidRPr="00D957AA">
        <w:t>chicots plutôt</w:t>
      </w:r>
      <w:r w:rsidRPr="00361DA2">
        <w:t xml:space="preserve"> que des débris ligneux (Doyon et Sougavinski 2002). </w:t>
      </w:r>
    </w:p>
    <w:p w:rsidR="006A4F59" w:rsidRPr="006A4F59" w:rsidRDefault="00CE5299" w:rsidP="006A4F59">
      <w:pPr>
        <w:pStyle w:val="Titre4"/>
        <w:numPr>
          <w:ilvl w:val="3"/>
          <w:numId w:val="15"/>
        </w:numPr>
        <w:jc w:val="both"/>
      </w:pPr>
      <w:r w:rsidRPr="00361DA2">
        <w:t>Tordeuse des bourgeons de l’épinette</w:t>
      </w:r>
    </w:p>
    <w:p w:rsidR="00CE5299" w:rsidRPr="00361DA2" w:rsidRDefault="00CE5299" w:rsidP="00CE5299">
      <w:pPr>
        <w:spacing w:before="120" w:after="120"/>
        <w:jc w:val="both"/>
      </w:pPr>
      <w:r>
        <w:t>U</w:t>
      </w:r>
      <w:r w:rsidRPr="00361DA2">
        <w:t xml:space="preserve">ne étude sur l’historique des perturbations sur le territoire de la Réserve Rouge-Matawin (Bouffard et </w:t>
      </w:r>
      <w:r w:rsidRPr="00361DA2">
        <w:rPr>
          <w:i/>
        </w:rPr>
        <w:t>al.</w:t>
      </w:r>
      <w:r w:rsidRPr="00361DA2">
        <w:t xml:space="preserve"> 2003), située dans l’UAF 061-52</w:t>
      </w:r>
      <w:r>
        <w:t>,</w:t>
      </w:r>
      <w:r w:rsidRPr="00361DA2">
        <w:t xml:space="preserve"> présente l’importance relative de certains insectes dans la dynamique forestière du territoire. Cette étude souligne notamment l’importance de la tordeuse des bourgeons de l’épinette (TBE) dans la dynamique forestière du secteur. Elle rapporte également que, selon l’étude de Jardon (2001), certains secteurs de la Réserve auraient connu plusieurs épisodes d’épidémies de TBE d’intensité légère à moyenne avec de nombreux maxima d’intensité (fréquence relative des arbres morts) au cours du 19</w:t>
      </w:r>
      <w:r w:rsidRPr="00361DA2">
        <w:rPr>
          <w:vertAlign w:val="superscript"/>
        </w:rPr>
        <w:t>e</w:t>
      </w:r>
      <w:r w:rsidRPr="00361DA2">
        <w:t xml:space="preserve"> siècle.</w:t>
      </w:r>
    </w:p>
    <w:p w:rsidR="00CE5299" w:rsidRPr="00361DA2" w:rsidRDefault="00CE5299" w:rsidP="00CE5299">
      <w:pPr>
        <w:spacing w:before="120" w:after="120"/>
        <w:jc w:val="both"/>
      </w:pPr>
      <w:r w:rsidRPr="00361DA2">
        <w:t xml:space="preserve">Selon Beaulieu et </w:t>
      </w:r>
      <w:r w:rsidRPr="00361DA2">
        <w:rPr>
          <w:i/>
        </w:rPr>
        <w:t xml:space="preserve">al. </w:t>
      </w:r>
      <w:r w:rsidRPr="00361DA2">
        <w:t>(2002), le domaine de la sapinière à bouleau jaune est l’une des régions les plus touché</w:t>
      </w:r>
      <w:r>
        <w:t>e</w:t>
      </w:r>
      <w:r w:rsidRPr="00361DA2">
        <w:t>s par les épidémies de TBE après la sapinière à bouleau blanc. L’ensapinage remarqué dans les deux sous</w:t>
      </w:r>
      <w:r>
        <w:t>-</w:t>
      </w:r>
      <w:r w:rsidRPr="00361DA2">
        <w:t>domaine</w:t>
      </w:r>
      <w:r>
        <w:t>s</w:t>
      </w:r>
      <w:r w:rsidRPr="00361DA2">
        <w:t xml:space="preserve"> de l’érablière à bouleau jaune est le résultat des dernières épidémies de TBE. </w:t>
      </w:r>
      <w:r>
        <w:t xml:space="preserve">Certaines </w:t>
      </w:r>
      <w:r w:rsidRPr="00361DA2">
        <w:t xml:space="preserve">conditions environnementales retrouvées dans ces territoires (sol mince, milieu xérique ou hydrique, climat plus chaud et plus sec) </w:t>
      </w:r>
      <w:r>
        <w:t xml:space="preserve">pourraient </w:t>
      </w:r>
      <w:r w:rsidRPr="00D957AA">
        <w:t>défavoriser</w:t>
      </w:r>
      <w:r>
        <w:t xml:space="preserve"> </w:t>
      </w:r>
      <w:r w:rsidRPr="00361DA2">
        <w:t>la croissance du sapin et favorise</w:t>
      </w:r>
      <w:r>
        <w:t>r</w:t>
      </w:r>
      <w:r w:rsidRPr="00361DA2">
        <w:t xml:space="preserve"> la progression de la TBE.</w:t>
      </w:r>
    </w:p>
    <w:p w:rsidR="00CE5299" w:rsidRPr="00361DA2" w:rsidRDefault="00CE5299" w:rsidP="00CE5299">
      <w:pPr>
        <w:spacing w:before="120" w:after="120"/>
        <w:ind w:right="-113"/>
        <w:jc w:val="both"/>
        <w:rPr>
          <w:lang w:val="fr-CA" w:eastAsia="fr-CA"/>
        </w:rPr>
      </w:pPr>
      <w:r w:rsidRPr="00361DA2">
        <w:rPr>
          <w:lang w:val="fr-CA" w:eastAsia="fr-CA"/>
        </w:rPr>
        <w:t>Dans les peuplements matures qui croissent dans les zones les plus propices aux épidémies, la TBE tue en moyenne 75 % des sapins, quoique ce pourcentage puisse aller de 30 % à 95 % selon la densité du peuplement et la qualité du site (MRNF, 2002-2012).</w:t>
      </w:r>
      <w:r w:rsidRPr="00361DA2">
        <w:t xml:space="preserve"> L’effet de la tordeuse se fait particulièrement sentir dans les peuplements mûrs. Lorsque le sapin est en mélange avec d’autres essences feuillues ou résineuses, la mortalité causée par la TBE entraîne une réduction de la densité du peuplement et un changement de composition (on parle alors de perturbation moyenne, soit épidémie légère) ; ce type de perturbation a plus ou moins l’effet d’une éclaircie. Lorsqu’il s’agit de sapinières pures, la mortalité peut être quasi-totale et conduire à l’origine d’un nouveau peuplement (Beaulieu et al. 2002). </w:t>
      </w:r>
      <w:r w:rsidRPr="00361DA2">
        <w:rPr>
          <w:lang w:val="fr-CA" w:eastAsia="fr-CA"/>
        </w:rPr>
        <w:t xml:space="preserve">Les peuplements qui succèdent aux peuplements affectés renferment un très grand nombre de sapins et, parfois, de bouleaux à papier (MRNF, 2012a). </w:t>
      </w:r>
    </w:p>
    <w:p w:rsidR="00CE5299" w:rsidRPr="00361DA2" w:rsidRDefault="00CE5299" w:rsidP="00CE5299">
      <w:pPr>
        <w:spacing w:before="120" w:after="120"/>
        <w:ind w:right="-113"/>
        <w:jc w:val="both"/>
      </w:pPr>
      <w:r w:rsidRPr="00361DA2">
        <w:rPr>
          <w:lang w:val="fr-CA" w:eastAsia="fr-CA"/>
        </w:rPr>
        <w:t xml:space="preserve">Dans les jeunes peuplements très denses, des défoliations répétées provoquent la mort d'un pourcentage plus ou moins élevé d'arbres. Les sujets les moins résistants meurent les premiers; ce processus d'éclaircie aurait eu lieu sans épidémie, mais aurait été étalé sur une période plus longue. Dans les peuplements immatures, la mortalité est de l'ordre de 50 %, mais elle peut varier de 20 % à 95 %. Dans les pessières, le taux de mortalité est généralement inférieur à 30 % (MRNF, 2012a). </w:t>
      </w:r>
    </w:p>
    <w:p w:rsidR="006A4F59" w:rsidRPr="006A4F59" w:rsidRDefault="00CE5299" w:rsidP="006A4F59">
      <w:pPr>
        <w:pStyle w:val="Titre4"/>
        <w:numPr>
          <w:ilvl w:val="3"/>
          <w:numId w:val="15"/>
        </w:numPr>
        <w:jc w:val="both"/>
        <w:rPr>
          <w:lang w:val="fr-CA" w:eastAsia="fr-CA"/>
        </w:rPr>
      </w:pPr>
      <w:r w:rsidRPr="00361DA2">
        <w:rPr>
          <w:lang w:val="fr-CA" w:eastAsia="fr-CA"/>
        </w:rPr>
        <w:t>Épisode</w:t>
      </w:r>
      <w:r>
        <w:rPr>
          <w:lang w:val="fr-CA" w:eastAsia="fr-CA"/>
        </w:rPr>
        <w:t>s</w:t>
      </w:r>
      <w:r w:rsidRPr="00361DA2">
        <w:rPr>
          <w:lang w:val="fr-CA" w:eastAsia="fr-CA"/>
        </w:rPr>
        <w:t xml:space="preserve"> de la TBE</w:t>
      </w:r>
    </w:p>
    <w:p w:rsidR="00CE5299" w:rsidRDefault="00CE5299" w:rsidP="00CE5299">
      <w:pPr>
        <w:spacing w:before="120" w:after="120"/>
        <w:jc w:val="both"/>
      </w:pPr>
      <w:r w:rsidRPr="00361DA2">
        <w:t xml:space="preserve">Deux épidémies sévères de TBE ont eu lieu de 1909 à 1920 et de 1973 à 1984. Une épidémie peu sévère causant une mortalité négligeable sur la plus grande partie du Témiscamingue a eu lieu de 1938 à 1948 (Bouchard et </w:t>
      </w:r>
      <w:r w:rsidRPr="00361DA2">
        <w:rPr>
          <w:i/>
        </w:rPr>
        <w:t>al.</w:t>
      </w:r>
      <w:r w:rsidRPr="00361DA2">
        <w:t xml:space="preserve"> 2008 ; Bouchard et </w:t>
      </w:r>
      <w:r w:rsidRPr="00361DA2">
        <w:rPr>
          <w:i/>
        </w:rPr>
        <w:t>al.</w:t>
      </w:r>
      <w:r w:rsidRPr="00361DA2">
        <w:t xml:space="preserve"> 2006). Lors de la dernière épidémie, 8% du territoire forestier du Témiscamingue a subi une mortalité totale correspondant à des peuplements dominés par le sapin et ne dépassant généralement pas les 50 ha (Bouchard et </w:t>
      </w:r>
      <w:r w:rsidRPr="00361DA2">
        <w:rPr>
          <w:i/>
        </w:rPr>
        <w:t>al.</w:t>
      </w:r>
      <w:r w:rsidRPr="00361DA2">
        <w:t xml:space="preserve"> 2008); ces peuplements sont retournés au stade de régénération (Bouchard et </w:t>
      </w:r>
      <w:r w:rsidRPr="00361DA2">
        <w:rPr>
          <w:i/>
        </w:rPr>
        <w:t>al.</w:t>
      </w:r>
      <w:r w:rsidRPr="00361DA2">
        <w:t xml:space="preserve"> 2005). Cette même épidémie a causé une mortalité partielle sur 15% du territoire dans des peuplements co-dominés par le sapin (Bouchard et </w:t>
      </w:r>
      <w:r w:rsidRPr="00361DA2">
        <w:rPr>
          <w:i/>
        </w:rPr>
        <w:t>al.</w:t>
      </w:r>
      <w:r w:rsidRPr="00361DA2">
        <w:t xml:space="preserve"> 2008). Lors de cette épidémie, à peu près tous les sapins matures sont morts (Bouchard et </w:t>
      </w:r>
      <w:r w:rsidRPr="00361DA2">
        <w:rPr>
          <w:i/>
        </w:rPr>
        <w:t>al.</w:t>
      </w:r>
      <w:r w:rsidRPr="00361DA2">
        <w:t xml:space="preserve"> 2005). En Mauricie, une infestation </w:t>
      </w:r>
      <w:r>
        <w:t>ayant sévi</w:t>
      </w:r>
      <w:r w:rsidRPr="00361DA2">
        <w:t xml:space="preserve"> de 1946 à 1956 a eu des impacts majeur</w:t>
      </w:r>
      <w:r>
        <w:t>s</w:t>
      </w:r>
      <w:r w:rsidR="00C34D0A">
        <w:t xml:space="preserve">, </w:t>
      </w:r>
      <w:r w:rsidRPr="00361DA2">
        <w:t>dont une mortalité de 65 % des espèces commerciales</w:t>
      </w:r>
      <w:r>
        <w:t xml:space="preserve"> et une infection de</w:t>
      </w:r>
      <w:r w:rsidRPr="00361DA2">
        <w:t xml:space="preserve"> 80 % des sapins</w:t>
      </w:r>
      <w:r>
        <w:t>.</w:t>
      </w:r>
      <w:r w:rsidRPr="00361DA2">
        <w:t xml:space="preserve"> </w:t>
      </w:r>
    </w:p>
    <w:p w:rsidR="00CE5299" w:rsidRPr="00361DA2" w:rsidRDefault="00CE5299" w:rsidP="00CE5299">
      <w:pPr>
        <w:spacing w:before="120" w:after="120"/>
        <w:jc w:val="both"/>
      </w:pPr>
    </w:p>
    <w:p w:rsidR="00CE5299" w:rsidRDefault="00CE5299" w:rsidP="00CE5299">
      <w:pPr>
        <w:spacing w:before="120" w:after="120"/>
        <w:jc w:val="both"/>
      </w:pPr>
      <w:r w:rsidRPr="00D957AA">
        <w:t>Récurrence et impacts des épidémies</w:t>
      </w:r>
    </w:p>
    <w:p w:rsidR="00CE5299" w:rsidRDefault="00CE5299" w:rsidP="00CE5299">
      <w:pPr>
        <w:spacing w:before="120" w:after="120"/>
        <w:jc w:val="both"/>
      </w:pPr>
      <w:r w:rsidRPr="00361DA2">
        <w:t xml:space="preserve">Un couvert résiduel de 10 à 30% est généralement observé même après </w:t>
      </w:r>
      <w:r>
        <w:t>une</w:t>
      </w:r>
      <w:r w:rsidRPr="00361DA2">
        <w:t xml:space="preserve"> épidémie sévère (Kneeshaw et </w:t>
      </w:r>
      <w:r w:rsidRPr="00361DA2">
        <w:rPr>
          <w:i/>
        </w:rPr>
        <w:t>al.</w:t>
      </w:r>
      <w:r w:rsidRPr="00361DA2">
        <w:t xml:space="preserve"> 2005). La forêt résiduelle est généralement dominée par des espèces non hôtes comme le bouleau blanc, le thuya, quelques bouleaux jaunes et des épinettes (tiré de Dallaire et Légaré 2011)</w:t>
      </w:r>
      <w:r>
        <w:t>.</w:t>
      </w:r>
    </w:p>
    <w:p w:rsidR="00CE5299" w:rsidRDefault="00CE5299" w:rsidP="00394C15">
      <w:r>
        <w:t xml:space="preserve">On observe au </w:t>
      </w:r>
      <w:r w:rsidR="00394C15">
        <w:fldChar w:fldCharType="begin"/>
      </w:r>
      <w:r w:rsidR="00394C15">
        <w:instrText xml:space="preserve"> REF _Ref484513427 \h </w:instrText>
      </w:r>
      <w:r w:rsidR="00394C15">
        <w:fldChar w:fldCharType="separate"/>
      </w:r>
      <w:r w:rsidR="00241D60" w:rsidRPr="00361DA2">
        <w:t xml:space="preserve">Tableau </w:t>
      </w:r>
      <w:r w:rsidR="00241D60">
        <w:rPr>
          <w:noProof/>
        </w:rPr>
        <w:t>3</w:t>
      </w:r>
      <w:r w:rsidR="00394C15">
        <w:fldChar w:fldCharType="end"/>
      </w:r>
      <w:r>
        <w:t xml:space="preserve"> un résumé de l’ampleur des épidémies ainsi que le cycle d’infestation par domaine bioclimatique. Un cycle plus rapproché de l’ordre de 25-38 ans est observé dans les peuplements feuillus et mélangés tandis que le cycle est plus long dans les peuplements purs de résineux. Dans les peuplements purs, l’épidémie pourra avoir comme effet de produire une forte mortalité ce qui engendrera un nouveau peuplement. Lors des épisodes de TBE, la composition et la densité des peuplements mélangés et feuillus seront affecté</w:t>
      </w:r>
      <w:r w:rsidR="00C34D0A">
        <w:t>es</w:t>
      </w:r>
      <w:r>
        <w:t xml:space="preserve"> de manière significative. </w:t>
      </w:r>
    </w:p>
    <w:p w:rsidR="00B26578" w:rsidRDefault="00B26578" w:rsidP="00CE5299">
      <w:pPr>
        <w:pStyle w:val="Lgende"/>
        <w:spacing w:before="120" w:after="120"/>
        <w:jc w:val="both"/>
      </w:pPr>
      <w:bookmarkStart w:id="36" w:name="_Ref330993121"/>
      <w:bookmarkStart w:id="37" w:name="_Toc421716921"/>
    </w:p>
    <w:p w:rsidR="00B26578" w:rsidRDefault="00B26578" w:rsidP="00CE5299">
      <w:pPr>
        <w:pStyle w:val="Lgende"/>
        <w:spacing w:before="120" w:after="120"/>
        <w:jc w:val="both"/>
      </w:pPr>
    </w:p>
    <w:p w:rsidR="00B26578" w:rsidRDefault="00B26578" w:rsidP="00CE5299">
      <w:pPr>
        <w:pStyle w:val="Lgende"/>
        <w:spacing w:before="120" w:after="120"/>
        <w:jc w:val="both"/>
      </w:pPr>
    </w:p>
    <w:p w:rsidR="00B26578" w:rsidRDefault="00B26578" w:rsidP="00CE5299">
      <w:pPr>
        <w:pStyle w:val="Lgende"/>
        <w:spacing w:before="120" w:after="120"/>
        <w:jc w:val="both"/>
      </w:pPr>
    </w:p>
    <w:p w:rsidR="00B26578" w:rsidRDefault="00B26578" w:rsidP="00CE5299">
      <w:pPr>
        <w:pStyle w:val="Lgende"/>
        <w:spacing w:before="120" w:after="120"/>
        <w:jc w:val="both"/>
      </w:pPr>
    </w:p>
    <w:p w:rsidR="00B26578" w:rsidRDefault="00B26578" w:rsidP="00CE5299">
      <w:pPr>
        <w:pStyle w:val="Lgende"/>
        <w:spacing w:before="120" w:after="120"/>
        <w:jc w:val="both"/>
      </w:pPr>
    </w:p>
    <w:p w:rsidR="00CE5299" w:rsidRPr="00361DA2" w:rsidRDefault="00CE5299" w:rsidP="00CE5299">
      <w:pPr>
        <w:pStyle w:val="Lgende"/>
        <w:spacing w:before="120" w:after="120"/>
        <w:jc w:val="both"/>
      </w:pPr>
      <w:bookmarkStart w:id="38" w:name="_Ref484513427"/>
      <w:bookmarkStart w:id="39" w:name="_Toc484513483"/>
      <w:r w:rsidRPr="00361DA2">
        <w:t xml:space="preserve">Tableau </w:t>
      </w:r>
      <w:r w:rsidR="00FD33B5">
        <w:fldChar w:fldCharType="begin"/>
      </w:r>
      <w:r w:rsidR="00FD33B5">
        <w:instrText xml:space="preserve"> SEQ Tableau \* ARABIC </w:instrText>
      </w:r>
      <w:r w:rsidR="00FD33B5">
        <w:fldChar w:fldCharType="separate"/>
      </w:r>
      <w:r w:rsidR="00241D60">
        <w:rPr>
          <w:noProof/>
        </w:rPr>
        <w:t>3</w:t>
      </w:r>
      <w:r w:rsidR="00FD33B5">
        <w:rPr>
          <w:noProof/>
        </w:rPr>
        <w:fldChar w:fldCharType="end"/>
      </w:r>
      <w:bookmarkEnd w:id="36"/>
      <w:bookmarkEnd w:id="38"/>
      <w:r w:rsidRPr="00361DA2">
        <w:t xml:space="preserve">. Récurrence des épidémies de TBE </w:t>
      </w:r>
      <w:r w:rsidRPr="00D957AA">
        <w:t>(modifié de CFHL 2009)</w:t>
      </w:r>
      <w:bookmarkEnd w:id="37"/>
      <w:bookmarkEnd w:id="39"/>
    </w:p>
    <w:tbl>
      <w:tblPr>
        <w:tblW w:w="0" w:type="auto"/>
        <w:tblBorders>
          <w:top w:val="single" w:sz="4" w:space="0" w:color="000000"/>
          <w:bottom w:val="single" w:sz="4" w:space="0" w:color="000000"/>
          <w:insideH w:val="single" w:sz="4" w:space="0" w:color="000000"/>
        </w:tblBorders>
        <w:tblLook w:val="00A0" w:firstRow="1" w:lastRow="0" w:firstColumn="1" w:lastColumn="0" w:noHBand="0" w:noVBand="0"/>
      </w:tblPr>
      <w:tblGrid>
        <w:gridCol w:w="2190"/>
        <w:gridCol w:w="3305"/>
        <w:gridCol w:w="1076"/>
        <w:gridCol w:w="2191"/>
      </w:tblGrid>
      <w:tr w:rsidR="00CE5299" w:rsidRPr="00361DA2" w:rsidTr="00F77507">
        <w:tc>
          <w:tcPr>
            <w:tcW w:w="2190" w:type="dxa"/>
            <w:tcBorders>
              <w:top w:val="single" w:sz="4" w:space="0" w:color="auto"/>
              <w:left w:val="single" w:sz="4" w:space="0" w:color="auto"/>
              <w:bottom w:val="single" w:sz="4" w:space="0" w:color="auto"/>
              <w:right w:val="single" w:sz="4" w:space="0" w:color="auto"/>
            </w:tcBorders>
            <w:shd w:val="clear" w:color="auto" w:fill="E0E0E0"/>
          </w:tcPr>
          <w:p w:rsidR="00CE5299" w:rsidRPr="00361DA2" w:rsidRDefault="00CE5299" w:rsidP="00CE5299">
            <w:pPr>
              <w:keepNext/>
              <w:keepLines/>
              <w:spacing w:before="120" w:after="120"/>
              <w:jc w:val="both"/>
              <w:rPr>
                <w:b/>
                <w:sz w:val="20"/>
                <w:szCs w:val="20"/>
              </w:rPr>
            </w:pPr>
            <w:r w:rsidRPr="00361DA2">
              <w:rPr>
                <w:b/>
                <w:sz w:val="20"/>
                <w:szCs w:val="20"/>
              </w:rPr>
              <w:t>Sous-domaine bioclimatique le plus concerné</w:t>
            </w:r>
          </w:p>
        </w:tc>
        <w:tc>
          <w:tcPr>
            <w:tcW w:w="3305" w:type="dxa"/>
            <w:tcBorders>
              <w:top w:val="single" w:sz="4" w:space="0" w:color="auto"/>
              <w:left w:val="single" w:sz="4" w:space="0" w:color="auto"/>
              <w:bottom w:val="single" w:sz="4" w:space="0" w:color="auto"/>
              <w:right w:val="single" w:sz="4" w:space="0" w:color="auto"/>
            </w:tcBorders>
            <w:shd w:val="clear" w:color="auto" w:fill="E0E0E0"/>
            <w:vAlign w:val="center"/>
          </w:tcPr>
          <w:p w:rsidR="00CE5299" w:rsidRPr="00361DA2" w:rsidRDefault="00CE5299" w:rsidP="00CE5299">
            <w:pPr>
              <w:keepNext/>
              <w:keepLines/>
              <w:spacing w:before="120" w:after="120"/>
              <w:jc w:val="both"/>
              <w:rPr>
                <w:b/>
                <w:sz w:val="20"/>
                <w:szCs w:val="20"/>
              </w:rPr>
            </w:pPr>
            <w:r w:rsidRPr="00361DA2">
              <w:rPr>
                <w:b/>
                <w:sz w:val="20"/>
                <w:szCs w:val="20"/>
              </w:rPr>
              <w:t>Ampleur</w:t>
            </w:r>
          </w:p>
        </w:tc>
        <w:tc>
          <w:tcPr>
            <w:tcW w:w="1076" w:type="dxa"/>
            <w:tcBorders>
              <w:top w:val="single" w:sz="4" w:space="0" w:color="auto"/>
              <w:left w:val="single" w:sz="4" w:space="0" w:color="auto"/>
              <w:bottom w:val="single" w:sz="4" w:space="0" w:color="auto"/>
              <w:right w:val="single" w:sz="4" w:space="0" w:color="auto"/>
            </w:tcBorders>
            <w:shd w:val="clear" w:color="auto" w:fill="E0E0E0"/>
            <w:vAlign w:val="center"/>
          </w:tcPr>
          <w:p w:rsidR="00CE5299" w:rsidRPr="00361DA2" w:rsidRDefault="00CE5299" w:rsidP="00CE5299">
            <w:pPr>
              <w:keepNext/>
              <w:keepLines/>
              <w:spacing w:before="120" w:after="120"/>
              <w:jc w:val="both"/>
              <w:rPr>
                <w:b/>
                <w:sz w:val="20"/>
                <w:szCs w:val="20"/>
              </w:rPr>
            </w:pPr>
            <w:r w:rsidRPr="00361DA2">
              <w:rPr>
                <w:b/>
                <w:sz w:val="20"/>
                <w:szCs w:val="20"/>
              </w:rPr>
              <w:t xml:space="preserve">Cycle </w:t>
            </w:r>
          </w:p>
          <w:p w:rsidR="00CE5299" w:rsidRPr="00361DA2" w:rsidRDefault="00CE5299" w:rsidP="00CE5299">
            <w:pPr>
              <w:keepNext/>
              <w:keepLines/>
              <w:spacing w:before="120" w:after="120"/>
              <w:jc w:val="both"/>
              <w:rPr>
                <w:b/>
                <w:sz w:val="20"/>
                <w:szCs w:val="20"/>
              </w:rPr>
            </w:pPr>
            <w:r w:rsidRPr="00361DA2">
              <w:rPr>
                <w:b/>
                <w:sz w:val="20"/>
                <w:szCs w:val="20"/>
              </w:rPr>
              <w:t>(ans)</w:t>
            </w:r>
          </w:p>
        </w:tc>
        <w:tc>
          <w:tcPr>
            <w:tcW w:w="2191" w:type="dxa"/>
            <w:tcBorders>
              <w:top w:val="single" w:sz="4" w:space="0" w:color="auto"/>
              <w:left w:val="single" w:sz="4" w:space="0" w:color="auto"/>
              <w:bottom w:val="single" w:sz="4" w:space="0" w:color="auto"/>
              <w:right w:val="single" w:sz="4" w:space="0" w:color="auto"/>
            </w:tcBorders>
            <w:shd w:val="clear" w:color="auto" w:fill="E0E0E0"/>
            <w:vAlign w:val="center"/>
          </w:tcPr>
          <w:p w:rsidR="00CE5299" w:rsidRPr="00361DA2" w:rsidRDefault="00CE5299" w:rsidP="00CE5299">
            <w:pPr>
              <w:keepNext/>
              <w:keepLines/>
              <w:spacing w:before="120" w:after="120"/>
              <w:jc w:val="both"/>
              <w:rPr>
                <w:b/>
                <w:sz w:val="20"/>
                <w:szCs w:val="20"/>
              </w:rPr>
            </w:pPr>
            <w:r w:rsidRPr="00361DA2">
              <w:rPr>
                <w:b/>
                <w:sz w:val="20"/>
                <w:szCs w:val="20"/>
              </w:rPr>
              <w:t>Source</w:t>
            </w:r>
          </w:p>
        </w:tc>
      </w:tr>
      <w:tr w:rsidR="00CE5299" w:rsidRPr="00361DA2" w:rsidTr="00F77507">
        <w:trPr>
          <w:trHeight w:val="368"/>
        </w:trPr>
        <w:tc>
          <w:tcPr>
            <w:tcW w:w="2190" w:type="dxa"/>
            <w:vMerge w:val="restart"/>
            <w:tcBorders>
              <w:top w:val="single" w:sz="4" w:space="0" w:color="auto"/>
              <w:left w:val="single" w:sz="4" w:space="0" w:color="auto"/>
              <w:right w:val="single" w:sz="4" w:space="0" w:color="auto"/>
            </w:tcBorders>
            <w:vAlign w:val="center"/>
          </w:tcPr>
          <w:p w:rsidR="00CE5299" w:rsidRPr="00361DA2" w:rsidRDefault="00CE5299" w:rsidP="00CE5299">
            <w:pPr>
              <w:keepNext/>
              <w:keepLines/>
              <w:spacing w:before="120" w:after="120"/>
              <w:ind w:right="-11"/>
              <w:jc w:val="both"/>
              <w:rPr>
                <w:sz w:val="20"/>
                <w:szCs w:val="20"/>
              </w:rPr>
            </w:pPr>
            <w:r w:rsidRPr="00361DA2">
              <w:rPr>
                <w:sz w:val="20"/>
                <w:szCs w:val="20"/>
              </w:rPr>
              <w:t>Sapinière à bouleau jaune</w:t>
            </w:r>
            <w:r>
              <w:rPr>
                <w:sz w:val="20"/>
                <w:szCs w:val="20"/>
              </w:rPr>
              <w:t xml:space="preserve"> (062-52)</w:t>
            </w:r>
          </w:p>
        </w:tc>
        <w:tc>
          <w:tcPr>
            <w:tcW w:w="3305" w:type="dxa"/>
            <w:tcBorders>
              <w:top w:val="single" w:sz="4" w:space="0" w:color="auto"/>
              <w:left w:val="single" w:sz="4" w:space="0" w:color="auto"/>
              <w:bottom w:val="single" w:sz="4" w:space="0" w:color="auto"/>
              <w:right w:val="single" w:sz="4" w:space="0" w:color="auto"/>
            </w:tcBorders>
            <w:vAlign w:val="center"/>
          </w:tcPr>
          <w:p w:rsidR="00CE5299" w:rsidRPr="00361DA2" w:rsidRDefault="00CE5299" w:rsidP="00CE5299">
            <w:pPr>
              <w:keepNext/>
              <w:keepLines/>
              <w:spacing w:before="120" w:after="120"/>
              <w:jc w:val="both"/>
              <w:rPr>
                <w:sz w:val="20"/>
                <w:szCs w:val="20"/>
              </w:rPr>
            </w:pPr>
            <w:r w:rsidRPr="00361DA2">
              <w:rPr>
                <w:sz w:val="20"/>
                <w:szCs w:val="20"/>
              </w:rPr>
              <w:t>Modifications de densité et  de composition importantes</w:t>
            </w:r>
          </w:p>
        </w:tc>
        <w:tc>
          <w:tcPr>
            <w:tcW w:w="1076" w:type="dxa"/>
            <w:tcBorders>
              <w:top w:val="single" w:sz="4" w:space="0" w:color="auto"/>
              <w:left w:val="single" w:sz="4" w:space="0" w:color="auto"/>
              <w:right w:val="single" w:sz="4" w:space="0" w:color="auto"/>
            </w:tcBorders>
            <w:shd w:val="clear" w:color="auto" w:fill="auto"/>
            <w:vAlign w:val="center"/>
          </w:tcPr>
          <w:p w:rsidR="00CE5299" w:rsidRPr="00361DA2" w:rsidRDefault="00CE5299" w:rsidP="00CE5299">
            <w:pPr>
              <w:keepNext/>
              <w:keepLines/>
              <w:spacing w:before="120" w:after="120"/>
              <w:jc w:val="both"/>
              <w:rPr>
                <w:sz w:val="20"/>
                <w:szCs w:val="20"/>
              </w:rPr>
            </w:pPr>
            <w:r w:rsidRPr="00361DA2">
              <w:rPr>
                <w:sz w:val="20"/>
                <w:szCs w:val="20"/>
              </w:rPr>
              <w:t>25-38</w:t>
            </w:r>
          </w:p>
          <w:p w:rsidR="00CE5299" w:rsidRPr="00361DA2" w:rsidRDefault="00CE5299" w:rsidP="00CE5299">
            <w:pPr>
              <w:keepNext/>
              <w:keepLines/>
              <w:spacing w:before="120" w:after="120"/>
              <w:jc w:val="both"/>
              <w:rPr>
                <w:sz w:val="20"/>
                <w:szCs w:val="20"/>
              </w:rPr>
            </w:pPr>
            <w:r w:rsidRPr="00361DA2">
              <w:rPr>
                <w:sz w:val="20"/>
                <w:szCs w:val="20"/>
              </w:rPr>
              <w:t>30</w:t>
            </w:r>
          </w:p>
        </w:tc>
        <w:tc>
          <w:tcPr>
            <w:tcW w:w="2191" w:type="dxa"/>
            <w:tcBorders>
              <w:top w:val="single" w:sz="4" w:space="0" w:color="auto"/>
              <w:left w:val="single" w:sz="4" w:space="0" w:color="auto"/>
              <w:right w:val="single" w:sz="4" w:space="0" w:color="auto"/>
            </w:tcBorders>
            <w:shd w:val="clear" w:color="auto" w:fill="auto"/>
            <w:vAlign w:val="center"/>
          </w:tcPr>
          <w:p w:rsidR="00CE5299" w:rsidRPr="00361DA2" w:rsidRDefault="00CE5299" w:rsidP="00CE5299">
            <w:pPr>
              <w:keepNext/>
              <w:keepLines/>
              <w:spacing w:before="120" w:after="120"/>
              <w:jc w:val="both"/>
              <w:rPr>
                <w:sz w:val="20"/>
                <w:szCs w:val="20"/>
              </w:rPr>
            </w:pPr>
            <w:r w:rsidRPr="00361DA2">
              <w:rPr>
                <w:sz w:val="20"/>
                <w:szCs w:val="20"/>
              </w:rPr>
              <w:t xml:space="preserve">Beaulieu et </w:t>
            </w:r>
            <w:r w:rsidRPr="00361DA2">
              <w:rPr>
                <w:i/>
                <w:sz w:val="20"/>
                <w:szCs w:val="20"/>
              </w:rPr>
              <w:t>al.</w:t>
            </w:r>
            <w:r w:rsidRPr="00361DA2">
              <w:rPr>
                <w:sz w:val="20"/>
                <w:szCs w:val="20"/>
              </w:rPr>
              <w:t xml:space="preserve"> (2002)</w:t>
            </w:r>
          </w:p>
          <w:p w:rsidR="00CE5299" w:rsidRPr="00361DA2" w:rsidRDefault="00CE5299" w:rsidP="00CE5299">
            <w:pPr>
              <w:keepNext/>
              <w:keepLines/>
              <w:spacing w:before="120" w:after="120"/>
              <w:jc w:val="both"/>
              <w:rPr>
                <w:sz w:val="20"/>
                <w:szCs w:val="20"/>
              </w:rPr>
            </w:pPr>
            <w:r w:rsidRPr="00361DA2">
              <w:rPr>
                <w:sz w:val="20"/>
                <w:szCs w:val="20"/>
              </w:rPr>
              <w:t>MRNF (2008)</w:t>
            </w:r>
          </w:p>
        </w:tc>
      </w:tr>
      <w:tr w:rsidR="00CE5299" w:rsidRPr="00361DA2" w:rsidTr="00F77507">
        <w:trPr>
          <w:trHeight w:val="367"/>
        </w:trPr>
        <w:tc>
          <w:tcPr>
            <w:tcW w:w="2190" w:type="dxa"/>
            <w:vMerge/>
            <w:tcBorders>
              <w:left w:val="single" w:sz="4" w:space="0" w:color="auto"/>
              <w:bottom w:val="single" w:sz="4" w:space="0" w:color="auto"/>
              <w:right w:val="single" w:sz="4" w:space="0" w:color="auto"/>
            </w:tcBorders>
            <w:vAlign w:val="center"/>
          </w:tcPr>
          <w:p w:rsidR="00CE5299" w:rsidRPr="00361DA2" w:rsidRDefault="00CE5299" w:rsidP="00CE5299">
            <w:pPr>
              <w:keepNext/>
              <w:keepLines/>
              <w:spacing w:before="120" w:after="120"/>
              <w:ind w:right="-11"/>
              <w:jc w:val="both"/>
              <w:rPr>
                <w:sz w:val="20"/>
                <w:szCs w:val="20"/>
              </w:rPr>
            </w:pPr>
          </w:p>
        </w:tc>
        <w:tc>
          <w:tcPr>
            <w:tcW w:w="3305" w:type="dxa"/>
            <w:tcBorders>
              <w:top w:val="single" w:sz="4" w:space="0" w:color="auto"/>
              <w:left w:val="single" w:sz="4" w:space="0" w:color="auto"/>
              <w:bottom w:val="single" w:sz="4" w:space="0" w:color="auto"/>
              <w:right w:val="single" w:sz="4" w:space="0" w:color="auto"/>
            </w:tcBorders>
            <w:vAlign w:val="center"/>
          </w:tcPr>
          <w:p w:rsidR="00CE5299" w:rsidRPr="00361DA2" w:rsidRDefault="00CE5299" w:rsidP="00CE5299">
            <w:pPr>
              <w:keepNext/>
              <w:keepLines/>
              <w:spacing w:before="120" w:after="120"/>
              <w:jc w:val="both"/>
              <w:rPr>
                <w:sz w:val="20"/>
                <w:szCs w:val="20"/>
              </w:rPr>
            </w:pPr>
            <w:r w:rsidRPr="00361DA2">
              <w:rPr>
                <w:sz w:val="20"/>
                <w:szCs w:val="20"/>
                <w:lang w:val="fr-CA" w:eastAsia="fr-CA"/>
              </w:rPr>
              <w:t>Mortalité de peuplements purs : origine d’un nouveau peuplement</w:t>
            </w:r>
          </w:p>
        </w:tc>
        <w:tc>
          <w:tcPr>
            <w:tcW w:w="1076" w:type="dxa"/>
            <w:tcBorders>
              <w:left w:val="single" w:sz="4" w:space="0" w:color="auto"/>
              <w:bottom w:val="single" w:sz="4" w:space="0" w:color="auto"/>
              <w:right w:val="single" w:sz="4" w:space="0" w:color="auto"/>
            </w:tcBorders>
            <w:shd w:val="clear" w:color="auto" w:fill="auto"/>
            <w:vAlign w:val="center"/>
          </w:tcPr>
          <w:p w:rsidR="00CE5299" w:rsidRPr="00361DA2" w:rsidRDefault="00CE5299" w:rsidP="00CE5299">
            <w:pPr>
              <w:keepNext/>
              <w:keepLines/>
              <w:spacing w:before="120" w:after="120"/>
              <w:jc w:val="both"/>
              <w:rPr>
                <w:sz w:val="20"/>
                <w:szCs w:val="20"/>
              </w:rPr>
            </w:pPr>
            <w:r w:rsidRPr="00361DA2">
              <w:rPr>
                <w:sz w:val="20"/>
                <w:szCs w:val="20"/>
              </w:rPr>
              <w:t>60-70</w:t>
            </w:r>
          </w:p>
        </w:tc>
        <w:tc>
          <w:tcPr>
            <w:tcW w:w="2191" w:type="dxa"/>
            <w:tcBorders>
              <w:left w:val="single" w:sz="4" w:space="0" w:color="auto"/>
              <w:right w:val="single" w:sz="4" w:space="0" w:color="auto"/>
            </w:tcBorders>
            <w:shd w:val="clear" w:color="auto" w:fill="auto"/>
            <w:vAlign w:val="center"/>
          </w:tcPr>
          <w:p w:rsidR="00CE5299" w:rsidRPr="00361DA2" w:rsidRDefault="00CE5299" w:rsidP="00CE5299">
            <w:pPr>
              <w:keepNext/>
              <w:keepLines/>
              <w:spacing w:before="120" w:after="120"/>
              <w:jc w:val="both"/>
              <w:rPr>
                <w:sz w:val="20"/>
                <w:szCs w:val="20"/>
              </w:rPr>
            </w:pPr>
            <w:r w:rsidRPr="00361DA2">
              <w:rPr>
                <w:sz w:val="20"/>
                <w:szCs w:val="20"/>
              </w:rPr>
              <w:t xml:space="preserve">Bouchard et </w:t>
            </w:r>
            <w:r w:rsidRPr="00361DA2">
              <w:rPr>
                <w:i/>
                <w:sz w:val="20"/>
                <w:szCs w:val="20"/>
              </w:rPr>
              <w:t>al.</w:t>
            </w:r>
            <w:r w:rsidRPr="00361DA2">
              <w:rPr>
                <w:sz w:val="20"/>
                <w:szCs w:val="20"/>
              </w:rPr>
              <w:t xml:space="preserve"> </w:t>
            </w:r>
          </w:p>
          <w:p w:rsidR="00CE5299" w:rsidRPr="00361DA2" w:rsidRDefault="00CE5299" w:rsidP="00CE5299">
            <w:pPr>
              <w:keepNext/>
              <w:keepLines/>
              <w:spacing w:before="120" w:after="120"/>
              <w:jc w:val="both"/>
              <w:rPr>
                <w:sz w:val="20"/>
                <w:szCs w:val="20"/>
              </w:rPr>
            </w:pPr>
            <w:r w:rsidRPr="00361DA2">
              <w:rPr>
                <w:sz w:val="20"/>
                <w:szCs w:val="20"/>
              </w:rPr>
              <w:t>(2008, 2006)</w:t>
            </w:r>
          </w:p>
        </w:tc>
      </w:tr>
      <w:tr w:rsidR="00CE5299" w:rsidRPr="00361DA2" w:rsidTr="00F77507">
        <w:tc>
          <w:tcPr>
            <w:tcW w:w="2190" w:type="dxa"/>
            <w:tcBorders>
              <w:top w:val="single" w:sz="4" w:space="0" w:color="auto"/>
              <w:left w:val="single" w:sz="4" w:space="0" w:color="auto"/>
              <w:bottom w:val="single" w:sz="4" w:space="0" w:color="auto"/>
              <w:right w:val="single" w:sz="4" w:space="0" w:color="auto"/>
            </w:tcBorders>
            <w:vAlign w:val="center"/>
          </w:tcPr>
          <w:p w:rsidR="00CE5299" w:rsidRPr="00361DA2" w:rsidRDefault="00C34D0A" w:rsidP="00CE5299">
            <w:pPr>
              <w:keepNext/>
              <w:keepLines/>
              <w:spacing w:before="120" w:after="120"/>
              <w:ind w:right="-11"/>
              <w:jc w:val="both"/>
              <w:rPr>
                <w:sz w:val="20"/>
                <w:szCs w:val="20"/>
              </w:rPr>
            </w:pPr>
            <w:r>
              <w:rPr>
                <w:sz w:val="20"/>
                <w:szCs w:val="20"/>
              </w:rPr>
              <w:t>É</w:t>
            </w:r>
            <w:r w:rsidR="00CE5299" w:rsidRPr="00361DA2">
              <w:rPr>
                <w:sz w:val="20"/>
                <w:szCs w:val="20"/>
              </w:rPr>
              <w:t xml:space="preserve">rablière à bouleau jaune </w:t>
            </w:r>
            <w:r w:rsidR="00CE5299">
              <w:rPr>
                <w:sz w:val="20"/>
                <w:szCs w:val="20"/>
              </w:rPr>
              <w:t>(062-51)</w:t>
            </w:r>
          </w:p>
        </w:tc>
        <w:tc>
          <w:tcPr>
            <w:tcW w:w="3305" w:type="dxa"/>
            <w:tcBorders>
              <w:top w:val="single" w:sz="4" w:space="0" w:color="auto"/>
              <w:left w:val="single" w:sz="4" w:space="0" w:color="auto"/>
              <w:right w:val="single" w:sz="4" w:space="0" w:color="auto"/>
            </w:tcBorders>
            <w:vAlign w:val="center"/>
          </w:tcPr>
          <w:p w:rsidR="00CE5299" w:rsidRPr="00361DA2" w:rsidRDefault="00CE5299" w:rsidP="00CE5299">
            <w:pPr>
              <w:autoSpaceDE w:val="0"/>
              <w:autoSpaceDN w:val="0"/>
              <w:adjustRightInd w:val="0"/>
              <w:spacing w:before="120" w:after="120"/>
              <w:jc w:val="both"/>
              <w:rPr>
                <w:sz w:val="20"/>
                <w:szCs w:val="20"/>
                <w:lang w:val="fr-CA" w:eastAsia="fr-CA"/>
              </w:rPr>
            </w:pPr>
            <w:r w:rsidRPr="00361DA2">
              <w:rPr>
                <w:sz w:val="20"/>
                <w:szCs w:val="20"/>
                <w:lang w:val="fr-CA" w:eastAsia="fr-CA"/>
              </w:rPr>
              <w:t>Selon la présence des résineux : Modification de la densité et de la composition</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center"/>
          </w:tcPr>
          <w:p w:rsidR="00CE5299" w:rsidRPr="00361DA2" w:rsidRDefault="00CE5299" w:rsidP="00CE5299">
            <w:pPr>
              <w:keepNext/>
              <w:keepLines/>
              <w:spacing w:before="120" w:after="120"/>
              <w:jc w:val="both"/>
              <w:rPr>
                <w:sz w:val="20"/>
                <w:szCs w:val="20"/>
              </w:rPr>
            </w:pPr>
            <w:r w:rsidRPr="00361DA2">
              <w:rPr>
                <w:sz w:val="20"/>
                <w:szCs w:val="20"/>
              </w:rPr>
              <w:t>25-38</w:t>
            </w:r>
          </w:p>
          <w:p w:rsidR="00CE5299" w:rsidRPr="00361DA2" w:rsidRDefault="00CE5299" w:rsidP="00CE5299">
            <w:pPr>
              <w:keepNext/>
              <w:keepLines/>
              <w:spacing w:before="120" w:after="120"/>
              <w:jc w:val="both"/>
              <w:rPr>
                <w:sz w:val="20"/>
                <w:szCs w:val="20"/>
              </w:rPr>
            </w:pPr>
            <w:r w:rsidRPr="00361DA2">
              <w:rPr>
                <w:sz w:val="20"/>
                <w:szCs w:val="20"/>
              </w:rPr>
              <w:t>30</w:t>
            </w:r>
          </w:p>
        </w:tc>
        <w:tc>
          <w:tcPr>
            <w:tcW w:w="2191" w:type="dxa"/>
            <w:tcBorders>
              <w:left w:val="single" w:sz="4" w:space="0" w:color="auto"/>
              <w:bottom w:val="single" w:sz="4" w:space="0" w:color="auto"/>
              <w:right w:val="single" w:sz="4" w:space="0" w:color="auto"/>
            </w:tcBorders>
            <w:shd w:val="clear" w:color="auto" w:fill="auto"/>
            <w:vAlign w:val="center"/>
          </w:tcPr>
          <w:p w:rsidR="00CE5299" w:rsidRPr="00361DA2" w:rsidRDefault="00CE5299" w:rsidP="00CE5299">
            <w:pPr>
              <w:keepNext/>
              <w:keepLines/>
              <w:spacing w:before="120" w:after="120"/>
              <w:jc w:val="both"/>
              <w:rPr>
                <w:sz w:val="20"/>
                <w:szCs w:val="20"/>
              </w:rPr>
            </w:pPr>
            <w:r w:rsidRPr="00361DA2">
              <w:rPr>
                <w:sz w:val="20"/>
                <w:szCs w:val="20"/>
              </w:rPr>
              <w:t xml:space="preserve">Beaulieu et </w:t>
            </w:r>
            <w:r w:rsidRPr="00361DA2">
              <w:rPr>
                <w:i/>
                <w:sz w:val="20"/>
                <w:szCs w:val="20"/>
              </w:rPr>
              <w:t>al.</w:t>
            </w:r>
            <w:r w:rsidRPr="00361DA2">
              <w:rPr>
                <w:sz w:val="20"/>
                <w:szCs w:val="20"/>
              </w:rPr>
              <w:t xml:space="preserve"> (2002)</w:t>
            </w:r>
          </w:p>
          <w:p w:rsidR="00CE5299" w:rsidRPr="00361DA2" w:rsidRDefault="00CE5299" w:rsidP="00CE5299">
            <w:pPr>
              <w:keepNext/>
              <w:keepLines/>
              <w:spacing w:before="120" w:after="120"/>
              <w:jc w:val="both"/>
              <w:rPr>
                <w:sz w:val="20"/>
                <w:szCs w:val="20"/>
              </w:rPr>
            </w:pPr>
            <w:r w:rsidRPr="00361DA2">
              <w:rPr>
                <w:sz w:val="20"/>
                <w:szCs w:val="20"/>
              </w:rPr>
              <w:t>MRNF (2008)</w:t>
            </w:r>
          </w:p>
        </w:tc>
      </w:tr>
    </w:tbl>
    <w:p w:rsidR="00CE5299" w:rsidRPr="00361DA2" w:rsidRDefault="00CE5299" w:rsidP="00CE5299">
      <w:pPr>
        <w:spacing w:before="120" w:after="120"/>
        <w:jc w:val="both"/>
      </w:pPr>
    </w:p>
    <w:p w:rsidR="00CE5299" w:rsidRDefault="00CE5299" w:rsidP="006A4F59">
      <w:pPr>
        <w:pStyle w:val="Titre4"/>
        <w:numPr>
          <w:ilvl w:val="3"/>
          <w:numId w:val="15"/>
        </w:numPr>
        <w:jc w:val="both"/>
      </w:pPr>
      <w:r w:rsidRPr="001D6350">
        <w:t>Livrée des forêts</w:t>
      </w:r>
    </w:p>
    <w:p w:rsidR="006A4F59" w:rsidRPr="006A4F59" w:rsidRDefault="006A4F59" w:rsidP="006A4F59"/>
    <w:p w:rsidR="00CE5299" w:rsidRPr="00361DA2" w:rsidRDefault="00CE5299" w:rsidP="00CE5299">
      <w:pPr>
        <w:spacing w:before="120" w:after="120"/>
        <w:jc w:val="both"/>
      </w:pPr>
      <w:r w:rsidRPr="00361DA2">
        <w:t>L</w:t>
      </w:r>
      <w:r w:rsidRPr="00361DA2">
        <w:rPr>
          <w:color w:val="000000"/>
          <w:shd w:val="clear" w:color="auto" w:fill="FFFFFF"/>
        </w:rPr>
        <w:t>a livrée des forêts, </w:t>
      </w:r>
      <w:r w:rsidRPr="00361DA2">
        <w:rPr>
          <w:i/>
          <w:iCs/>
          <w:color w:val="000000"/>
          <w:shd w:val="clear" w:color="auto" w:fill="FFFFFF"/>
        </w:rPr>
        <w:t>Malacosoma disstria</w:t>
      </w:r>
      <w:r w:rsidRPr="00361DA2">
        <w:rPr>
          <w:color w:val="000000"/>
          <w:shd w:val="clear" w:color="auto" w:fill="FFFFFF"/>
        </w:rPr>
        <w:t>, est un insecte défoliateurs qui s’attaque surtout au</w:t>
      </w:r>
      <w:r w:rsidRPr="00361DA2">
        <w:rPr>
          <w:rFonts w:ascii="Arial" w:hAnsi="Arial" w:cs="Arial"/>
          <w:color w:val="000000"/>
          <w:sz w:val="18"/>
          <w:szCs w:val="18"/>
          <w:shd w:val="clear" w:color="auto" w:fill="FFFFFF"/>
        </w:rPr>
        <w:t xml:space="preserve"> </w:t>
      </w:r>
      <w:r w:rsidRPr="00361DA2">
        <w:rPr>
          <w:color w:val="000000"/>
          <w:shd w:val="clear" w:color="auto" w:fill="FFFFFF"/>
        </w:rPr>
        <w:t>peuplier faux</w:t>
      </w:r>
      <w:r w:rsidR="00C34D0A">
        <w:rPr>
          <w:color w:val="000000"/>
          <w:shd w:val="clear" w:color="auto" w:fill="FFFFFF"/>
        </w:rPr>
        <w:t>-</w:t>
      </w:r>
      <w:r w:rsidRPr="00361DA2">
        <w:rPr>
          <w:color w:val="000000"/>
          <w:shd w:val="clear" w:color="auto" w:fill="FFFFFF"/>
        </w:rPr>
        <w:t>tremble, le bouleau à papier, l'érable à sucre, les saules et le chêne rouge. En fait, c'est l'un des insectes défoliateurs les plus connu</w:t>
      </w:r>
      <w:r w:rsidR="00C34D0A">
        <w:rPr>
          <w:color w:val="000000"/>
          <w:shd w:val="clear" w:color="auto" w:fill="FFFFFF"/>
        </w:rPr>
        <w:t>s.</w:t>
      </w:r>
      <w:r w:rsidRPr="00361DA2">
        <w:rPr>
          <w:color w:val="000000"/>
          <w:shd w:val="clear" w:color="auto" w:fill="FFFFFF"/>
        </w:rPr>
        <w:t xml:space="preserve"> </w:t>
      </w:r>
      <w:r w:rsidRPr="00361DA2">
        <w:t>Selon l’historique des épidémies dans les forêts feuillues du Québec</w:t>
      </w:r>
      <w:r>
        <w:t xml:space="preserve"> ( Érablière à bouleau jaune)</w:t>
      </w:r>
      <w:r w:rsidRPr="00361DA2">
        <w:t>, les épidémies de la livrée des forêts aurai</w:t>
      </w:r>
      <w:r>
        <w:t>en</w:t>
      </w:r>
      <w:r w:rsidRPr="00361DA2">
        <w:t>t une récurrence de 15 à 20 ans (MRNF 2012b).</w:t>
      </w:r>
    </w:p>
    <w:p w:rsidR="00CE5299" w:rsidRPr="00361DA2" w:rsidRDefault="00CE5299" w:rsidP="00CE5299">
      <w:pPr>
        <w:spacing w:before="120" w:after="120"/>
        <w:jc w:val="both"/>
      </w:pPr>
      <w:r w:rsidRPr="00361DA2">
        <w:t xml:space="preserve">Dans l’étude de Dallaire et </w:t>
      </w:r>
      <w:r>
        <w:t>L</w:t>
      </w:r>
      <w:r w:rsidRPr="00361DA2">
        <w:t xml:space="preserve">égaré (2011) dans la sapinière à bouleau jaune </w:t>
      </w:r>
      <w:r>
        <w:t>de l’Ouest</w:t>
      </w:r>
      <w:r w:rsidRPr="00361DA2">
        <w:t xml:space="preserve"> (4b) la fréquence observé</w:t>
      </w:r>
      <w:r>
        <w:t>e</w:t>
      </w:r>
      <w:r w:rsidRPr="00361DA2">
        <w:t xml:space="preserve"> entre les épidémies est seulement entre 0 et 5 ans. Ces infestations ne durent généralement pas plus de 3 années consécutives et malgré que certains arbres soient sévèrement atteints, il</w:t>
      </w:r>
      <w:r>
        <w:t>s</w:t>
      </w:r>
      <w:r w:rsidRPr="00361DA2">
        <w:t xml:space="preserve"> résiste</w:t>
      </w:r>
      <w:r>
        <w:t>nt</w:t>
      </w:r>
      <w:r w:rsidRPr="00361DA2">
        <w:t xml:space="preserve"> assez bien.  On observe cependant une diminution de la croissance diamétrale et une mortalité de certains</w:t>
      </w:r>
      <w:r>
        <w:t xml:space="preserve"> </w:t>
      </w:r>
      <w:r w:rsidRPr="00361DA2">
        <w:t>rameaux affectés. (RNCan 2011)</w:t>
      </w:r>
    </w:p>
    <w:p w:rsidR="00CE5299" w:rsidRPr="00361DA2" w:rsidRDefault="00CE5299" w:rsidP="00CE5299">
      <w:pPr>
        <w:spacing w:before="120" w:after="120"/>
        <w:jc w:val="both"/>
      </w:pPr>
      <w:r w:rsidRPr="00361DA2">
        <w:t xml:space="preserve">Selon l’étude de Bouffard et </w:t>
      </w:r>
      <w:r w:rsidRPr="00361DA2">
        <w:rPr>
          <w:i/>
        </w:rPr>
        <w:t>al.</w:t>
      </w:r>
      <w:r w:rsidRPr="00361DA2">
        <w:t xml:space="preserve"> (2003), il semble que la livrée des forêts soit le second insecte en importance dans le secteur de la Réserve </w:t>
      </w:r>
      <w:r w:rsidR="00C34D0A">
        <w:t>f</w:t>
      </w:r>
      <w:r w:rsidRPr="00361DA2">
        <w:t>aunique Rouge-Matawin (RFRM) dont l’infestation épidémique aurait été à son apogée en 1950 dans la vallée de la rivière Rouge</w:t>
      </w:r>
      <w:r>
        <w:t xml:space="preserve"> (cette étude couvre à la fois l’érablière à bouleau jaune et la sapinière à bouleau jaune)</w:t>
      </w:r>
      <w:r w:rsidRPr="00361DA2">
        <w:t xml:space="preserve">. </w:t>
      </w:r>
    </w:p>
    <w:p w:rsidR="006A4F59" w:rsidRPr="006A4F59" w:rsidRDefault="00CE5299" w:rsidP="006A4F59">
      <w:pPr>
        <w:pStyle w:val="Titre4"/>
        <w:numPr>
          <w:ilvl w:val="3"/>
          <w:numId w:val="15"/>
        </w:numPr>
        <w:jc w:val="both"/>
      </w:pPr>
      <w:r w:rsidRPr="00361DA2">
        <w:t>Autres insectes et maladies</w:t>
      </w:r>
    </w:p>
    <w:p w:rsidR="00CE5299" w:rsidRDefault="00CE5299" w:rsidP="00CE5299">
      <w:pPr>
        <w:spacing w:before="120" w:after="120"/>
        <w:jc w:val="both"/>
      </w:pPr>
      <w:r w:rsidRPr="00361DA2">
        <w:t>L’épidémie sévère de la mouche à scie du mélèze ayant eu lieu à la fin du 19</w:t>
      </w:r>
      <w:r w:rsidRPr="00361DA2">
        <w:rPr>
          <w:vertAlign w:val="superscript"/>
        </w:rPr>
        <w:t>e</w:t>
      </w:r>
      <w:r w:rsidRPr="00361DA2">
        <w:t xml:space="preserve"> siècle aurait pour sa part pratiquement éliminé du paysage de la RFRM l’ensemble des peuplements exploitables de mélèze. Les autres espèces d’insectes mentionnées plus haut, soit le charançon du pin blanc, la rouille vésiculeuse du pin blanc et l’arpenteuse de la pruche, auraient eu une importance relativement </w:t>
      </w:r>
      <w:r>
        <w:t>faible</w:t>
      </w:r>
      <w:r w:rsidRPr="00361DA2">
        <w:t xml:space="preserve"> du point de vue de la dynamique forestière de ce territoire. Dans les années 1930, l’arrivée du charançon du pin blanc a été mentionnée dans le plan d’aménagement de la compagnie MacLaren dans le sud du bassin de la rivière du Lièvre. Selon Bouffard et </w:t>
      </w:r>
      <w:r w:rsidRPr="00361DA2">
        <w:rPr>
          <w:i/>
        </w:rPr>
        <w:t>al.</w:t>
      </w:r>
      <w:r w:rsidRPr="00361DA2">
        <w:t xml:space="preserve"> (2003), cet insecte a pu atteindre le nord du bassin de la rivière du Lièvre et les secteurs environnants vers 1940.</w:t>
      </w:r>
    </w:p>
    <w:p w:rsidR="006A4F59" w:rsidRPr="00361DA2" w:rsidRDefault="006A4F59" w:rsidP="00CE5299">
      <w:pPr>
        <w:spacing w:before="120" w:after="120"/>
        <w:jc w:val="both"/>
      </w:pPr>
    </w:p>
    <w:p w:rsidR="006A4F59" w:rsidRPr="006A4F59" w:rsidRDefault="00CE5299" w:rsidP="006A4F59">
      <w:pPr>
        <w:pStyle w:val="Titre3"/>
        <w:numPr>
          <w:ilvl w:val="2"/>
          <w:numId w:val="15"/>
        </w:numPr>
        <w:spacing w:before="120" w:after="120"/>
        <w:jc w:val="both"/>
      </w:pPr>
      <w:bookmarkStart w:id="40" w:name="_Toc233775133"/>
      <w:bookmarkStart w:id="41" w:name="_Toc303235068"/>
      <w:bookmarkStart w:id="42" w:name="_Toc422129803"/>
      <w:bookmarkStart w:id="43" w:name="_Toc484513469"/>
      <w:r w:rsidRPr="00361DA2">
        <w:t>Chablis</w:t>
      </w:r>
      <w:bookmarkEnd w:id="40"/>
      <w:bookmarkEnd w:id="41"/>
      <w:bookmarkEnd w:id="42"/>
      <w:bookmarkEnd w:id="43"/>
    </w:p>
    <w:p w:rsidR="00CE5299" w:rsidRPr="00361DA2" w:rsidRDefault="00CE5299" w:rsidP="00CE5299">
      <w:pPr>
        <w:spacing w:before="120" w:after="120"/>
        <w:jc w:val="both"/>
      </w:pPr>
      <w:r w:rsidRPr="00361DA2">
        <w:t>Les orages violents, les tornades et les ouragans peuvent aussi initier la succession secondaire sur de grandes superficies, allant jusqu’à 100 km</w:t>
      </w:r>
      <w:r w:rsidRPr="00361DA2">
        <w:rPr>
          <w:vertAlign w:val="superscript"/>
        </w:rPr>
        <w:t>2</w:t>
      </w:r>
      <w:r w:rsidRPr="00361DA2">
        <w:t xml:space="preserve">. Généralement, les arbres de grande taille et ceux dont la cime est bien développée sont les plus susceptibles au renversement (ex. </w:t>
      </w:r>
      <w:r w:rsidRPr="00361DA2">
        <w:rPr>
          <w:i/>
        </w:rPr>
        <w:t>Pinus strobus</w:t>
      </w:r>
      <w:r w:rsidRPr="00361DA2">
        <w:t>) (Peterson et Pickett 1991). Le vent peut causer une rupture du tronc ou des branches ou tout simplement renverser</w:t>
      </w:r>
      <w:r>
        <w:t xml:space="preserve"> l’arbre</w:t>
      </w:r>
      <w:r w:rsidRPr="00361DA2">
        <w:t xml:space="preserve"> par déracinement ce qui a pour effet de créer des conditions de lumière et des lits de germination propices à la régénération des espèces forestières (Payette et </w:t>
      </w:r>
      <w:r w:rsidRPr="00361DA2">
        <w:rPr>
          <w:i/>
        </w:rPr>
        <w:t>al.</w:t>
      </w:r>
      <w:r w:rsidRPr="00361DA2">
        <w:t xml:space="preserve"> 1990) en plus de déposer une certaine quantité de débris (troncs, branches) à la surface du sol. Puisque le sous-bois n'est pas détruit, comme c'est le cas lors du passage d'un feu, le renouvellement du peuplement peut se faire rapidement : les jeunes pousses en place ne souffrent plus de la compétition provenant des arbres plus âgés. De plus, le soulèvement des racines brasse le sol autour des souches formant des dépressions et monticules (RNCan 2007) ; la perturbation du sol favorise une germination importante des semences contenues dans la litière (Peterson et Pickett 1991). </w:t>
      </w:r>
    </w:p>
    <w:p w:rsidR="00CE5299" w:rsidRPr="00361DA2" w:rsidRDefault="00CE5299" w:rsidP="00CE5299">
      <w:pPr>
        <w:spacing w:before="120" w:after="120"/>
        <w:jc w:val="both"/>
      </w:pPr>
      <w:r>
        <w:t>Le nombre d’individus affectés par le chablis permet de le caractériser selon son niveau d’intensité :</w:t>
      </w:r>
      <w:r w:rsidRPr="00361DA2">
        <w:t xml:space="preserve"> </w:t>
      </w:r>
      <w:r w:rsidR="00C34D0A">
        <w:t>u</w:t>
      </w:r>
      <w:r w:rsidRPr="00361DA2">
        <w:t xml:space="preserve">n chablis faible à modéré (« chablis partiel » selon la nomenclature québécoise) laissera les individus plus résistants debout alors qu’un chablis intense (chablis total) aura comme effet de racler tout le couvert forestier (Peterson et Pickett 1991). </w:t>
      </w:r>
    </w:p>
    <w:p w:rsidR="00CE5299" w:rsidRPr="00361DA2" w:rsidRDefault="00CE5299" w:rsidP="00CE5299">
      <w:pPr>
        <w:spacing w:before="120" w:after="120"/>
        <w:jc w:val="both"/>
      </w:pPr>
      <w:r w:rsidRPr="00361DA2">
        <w:t xml:space="preserve">De nombreux facteurs influencent la susceptibilité d’une forêt aux chablis selon Nolet et </w:t>
      </w:r>
      <w:r w:rsidRPr="00361DA2">
        <w:rPr>
          <w:i/>
        </w:rPr>
        <w:t xml:space="preserve">al. </w:t>
      </w:r>
      <w:r w:rsidRPr="00361DA2">
        <w:t>(1999):</w:t>
      </w:r>
    </w:p>
    <w:p w:rsidR="00CE5299" w:rsidRPr="00361DA2" w:rsidRDefault="00CE5299" w:rsidP="00CE5299">
      <w:pPr>
        <w:numPr>
          <w:ilvl w:val="0"/>
          <w:numId w:val="9"/>
        </w:numPr>
        <w:spacing w:before="120" w:after="120"/>
        <w:ind w:right="-108"/>
        <w:jc w:val="both"/>
      </w:pPr>
      <w:r w:rsidRPr="00361DA2">
        <w:t>les espèces présentes (Spurr et Barnes 1980 ; Foster 1988) ;</w:t>
      </w:r>
    </w:p>
    <w:p w:rsidR="00CE5299" w:rsidRPr="00361DA2" w:rsidRDefault="00CE5299" w:rsidP="00CE5299">
      <w:pPr>
        <w:numPr>
          <w:ilvl w:val="0"/>
          <w:numId w:val="9"/>
        </w:numPr>
        <w:spacing w:before="120" w:after="120"/>
        <w:ind w:right="-108"/>
        <w:jc w:val="both"/>
      </w:pPr>
      <w:r w:rsidRPr="00361DA2">
        <w:t xml:space="preserve">l’âge et la structure (les forêts plus âgées et plus ouvertes étant plus susceptibles) </w:t>
      </w:r>
      <w:r w:rsidRPr="00361DA2">
        <w:tab/>
        <w:t>(Runkle 1990) ;</w:t>
      </w:r>
    </w:p>
    <w:p w:rsidR="00CE5299" w:rsidRPr="00361DA2" w:rsidRDefault="00CE5299" w:rsidP="00CE5299">
      <w:pPr>
        <w:numPr>
          <w:ilvl w:val="0"/>
          <w:numId w:val="9"/>
        </w:numPr>
        <w:spacing w:before="120" w:after="120"/>
        <w:ind w:right="-108"/>
        <w:jc w:val="both"/>
      </w:pPr>
      <w:r w:rsidRPr="00361DA2">
        <w:t xml:space="preserve">les caractéristiques du site (pente, profondeur du sol) (Spurr et Barnes 1980 ; </w:t>
      </w:r>
      <w:r w:rsidRPr="00361DA2">
        <w:tab/>
        <w:t xml:space="preserve">Runkle </w:t>
      </w:r>
      <w:r w:rsidRPr="00361DA2">
        <w:tab/>
        <w:t>1985) ;</w:t>
      </w:r>
    </w:p>
    <w:p w:rsidR="00CE5299" w:rsidRPr="00361DA2" w:rsidRDefault="00CE5299" w:rsidP="00CE5299">
      <w:pPr>
        <w:numPr>
          <w:ilvl w:val="0"/>
          <w:numId w:val="9"/>
        </w:numPr>
        <w:spacing w:before="120" w:after="120"/>
        <w:ind w:right="-108"/>
        <w:jc w:val="both"/>
      </w:pPr>
      <w:r w:rsidRPr="00361DA2">
        <w:t>la physiographie de la région (Canham et Loucks 1984 ; Foster 1988) ;</w:t>
      </w:r>
    </w:p>
    <w:p w:rsidR="00CE5299" w:rsidRPr="00361DA2" w:rsidRDefault="00CE5299" w:rsidP="00CE5299">
      <w:pPr>
        <w:numPr>
          <w:ilvl w:val="0"/>
          <w:numId w:val="9"/>
        </w:numPr>
        <w:spacing w:before="120" w:after="120"/>
        <w:ind w:right="-108"/>
        <w:jc w:val="both"/>
      </w:pPr>
      <w:r w:rsidRPr="00361DA2">
        <w:t>la structure de la forêt environnante (Spurr et Barnes 1980) ;</w:t>
      </w:r>
    </w:p>
    <w:p w:rsidR="00CE5299" w:rsidRPr="00361DA2" w:rsidRDefault="00CE5299" w:rsidP="00CE5299">
      <w:pPr>
        <w:numPr>
          <w:ilvl w:val="0"/>
          <w:numId w:val="9"/>
        </w:numPr>
        <w:spacing w:before="120" w:after="120"/>
        <w:ind w:right="-108"/>
        <w:jc w:val="both"/>
      </w:pPr>
      <w:r w:rsidRPr="00361DA2">
        <w:t>les caractéristiques de la tempête en cours (Spurr et Barnes 1980 ; Sousa 1984).</w:t>
      </w:r>
    </w:p>
    <w:p w:rsidR="00CE5299" w:rsidRPr="00361DA2" w:rsidRDefault="00CE5299" w:rsidP="00CE5299">
      <w:pPr>
        <w:spacing w:before="120" w:after="120"/>
        <w:jc w:val="both"/>
      </w:pPr>
    </w:p>
    <w:p w:rsidR="00CE5299" w:rsidRPr="00361DA2" w:rsidRDefault="00CE5299" w:rsidP="00CE5299">
      <w:pPr>
        <w:spacing w:before="120" w:after="120"/>
        <w:jc w:val="both"/>
      </w:pPr>
      <w:r w:rsidRPr="00361DA2">
        <w:t xml:space="preserve">À titre d’exemple, dans son plan d’aménagement forestier de 1934, la compagnie MacLaren mentionne que la mortalité provoquée par le vent est plus importante dans les peuplements résineux surannés, plus particulièrement dans les peuplements qui ont été affectés par le passage récent de la tordeuse des bourgeons de l’épinette (Bouffard et </w:t>
      </w:r>
      <w:r w:rsidRPr="00361DA2">
        <w:rPr>
          <w:i/>
        </w:rPr>
        <w:t>al.</w:t>
      </w:r>
      <w:r w:rsidRPr="00361DA2">
        <w:t xml:space="preserve"> 2003). </w:t>
      </w:r>
    </w:p>
    <w:p w:rsidR="00CE5299" w:rsidRPr="00361DA2" w:rsidRDefault="00CE5299" w:rsidP="00CE5299">
      <w:pPr>
        <w:spacing w:before="120" w:after="120"/>
        <w:jc w:val="both"/>
      </w:pPr>
      <w:r w:rsidRPr="00361DA2">
        <w:t>Tel que rapporté dans le document de Dallaire et Légaré (2011), des chercheurs ont estimé un intervalle de retour de 6</w:t>
      </w:r>
      <w:r>
        <w:t> </w:t>
      </w:r>
      <w:r w:rsidRPr="00361DA2">
        <w:t>250 ans pour les chablis totaux et un retour de 780 ans pour les chablis partiels dans la région écologique 4b</w:t>
      </w:r>
      <w:r>
        <w:t xml:space="preserve"> (sapinière à bouleau jaune)</w:t>
      </w:r>
      <w:r w:rsidRPr="00361DA2">
        <w:t xml:space="preserve"> (Kneeshaw et </w:t>
      </w:r>
      <w:r w:rsidRPr="00361DA2">
        <w:rPr>
          <w:i/>
        </w:rPr>
        <w:t>al.</w:t>
      </w:r>
      <w:r w:rsidRPr="00361DA2">
        <w:t xml:space="preserve"> 2005, Vaillancourt 2008). En se basant sur un territoire de référence de 769 508 ha de l’érablière à bouleau jaune de l’Ouest et sur quatre périodes d’étude au cours du 20</w:t>
      </w:r>
      <w:r w:rsidRPr="00361DA2">
        <w:rPr>
          <w:vertAlign w:val="superscript"/>
        </w:rPr>
        <w:t>e</w:t>
      </w:r>
      <w:r w:rsidRPr="00361DA2">
        <w:t xml:space="preserve"> siècle, les données de Roy et al (2010) permettent d’estimer la proportion de territoire affectée annuellement par les chablis (partiels et totaux) à 0,14%.</w:t>
      </w:r>
      <w:bookmarkStart w:id="44" w:name="_Toc303235069"/>
    </w:p>
    <w:p w:rsidR="00CE5299" w:rsidRPr="00361DA2" w:rsidRDefault="00CE5299" w:rsidP="006A4F59">
      <w:pPr>
        <w:pStyle w:val="Titre3"/>
        <w:numPr>
          <w:ilvl w:val="2"/>
          <w:numId w:val="15"/>
        </w:numPr>
        <w:spacing w:before="120" w:after="120"/>
        <w:jc w:val="both"/>
      </w:pPr>
      <w:bookmarkStart w:id="45" w:name="_Toc422129804"/>
      <w:bookmarkStart w:id="46" w:name="_Toc484513470"/>
      <w:r w:rsidRPr="00361DA2">
        <w:t>Trouées</w:t>
      </w:r>
      <w:bookmarkEnd w:id="44"/>
      <w:bookmarkEnd w:id="45"/>
      <w:bookmarkEnd w:id="46"/>
      <w:r w:rsidRPr="00361DA2">
        <w:t xml:space="preserve"> </w:t>
      </w:r>
      <w:bookmarkEnd w:id="35"/>
    </w:p>
    <w:p w:rsidR="00CE5299" w:rsidRDefault="00CE5299" w:rsidP="00CE5299">
      <w:pPr>
        <w:autoSpaceDE w:val="0"/>
        <w:autoSpaceDN w:val="0"/>
        <w:adjustRightInd w:val="0"/>
        <w:jc w:val="both"/>
      </w:pPr>
      <w:r w:rsidRPr="00361DA2">
        <w:t>Le régime de perturbation naturelle de la forêt feuillue</w:t>
      </w:r>
      <w:r>
        <w:t xml:space="preserve"> (dont l’érablière à bouleau jaune)</w:t>
      </w:r>
      <w:r w:rsidRPr="00361DA2">
        <w:t xml:space="preserve"> est principalement caractérisé par une dynamique continu</w:t>
      </w:r>
      <w:r>
        <w:t>e</w:t>
      </w:r>
      <w:r w:rsidRPr="00361DA2">
        <w:t xml:space="preserve"> de création et de fermeture de trouées dans la canopée (Runkle 1985)</w:t>
      </w:r>
      <w:r>
        <w:t>.</w:t>
      </w:r>
      <w:r w:rsidRPr="00361DA2">
        <w:t xml:space="preserve"> Dans les trois domaines bioclimatiques étudiés, cette dynamique constitue le principal agent perturbateur influençant ces écosystèmes. </w:t>
      </w:r>
    </w:p>
    <w:p w:rsidR="00CE5299" w:rsidRDefault="00CE5299" w:rsidP="00CE5299">
      <w:pPr>
        <w:autoSpaceDE w:val="0"/>
        <w:autoSpaceDN w:val="0"/>
        <w:adjustRightInd w:val="0"/>
        <w:jc w:val="both"/>
      </w:pPr>
    </w:p>
    <w:p w:rsidR="00CE5299" w:rsidRDefault="00CE5299" w:rsidP="00CE5299">
      <w:pPr>
        <w:autoSpaceDE w:val="0"/>
        <w:autoSpaceDN w:val="0"/>
        <w:adjustRightInd w:val="0"/>
        <w:jc w:val="both"/>
      </w:pPr>
      <w:r w:rsidRPr="00361DA2">
        <w:t xml:space="preserve">Au Témiscamingue, les trouées de la sapinière à bouleau jaune couvrent environ 37 % des peuplements au stade de vieille forêt (Messiers et </w:t>
      </w:r>
      <w:r w:rsidRPr="00361DA2">
        <w:rPr>
          <w:i/>
        </w:rPr>
        <w:t>al.</w:t>
      </w:r>
      <w:r w:rsidRPr="00361DA2">
        <w:t xml:space="preserve"> 2005). </w:t>
      </w:r>
      <w:r>
        <w:rPr>
          <w:sz w:val="23"/>
          <w:szCs w:val="23"/>
          <w:lang w:val="fr-CA" w:eastAsia="fr-CA"/>
        </w:rPr>
        <w:t>Dans la forêt de la sapinière à bouleau jaune</w:t>
      </w:r>
      <w:r w:rsidR="00C34D0A">
        <w:rPr>
          <w:sz w:val="23"/>
          <w:szCs w:val="23"/>
          <w:lang w:val="fr-CA" w:eastAsia="fr-CA"/>
        </w:rPr>
        <w:t xml:space="preserve">, </w:t>
      </w:r>
      <w:r>
        <w:rPr>
          <w:sz w:val="23"/>
          <w:szCs w:val="23"/>
          <w:lang w:val="fr-CA" w:eastAsia="fr-CA"/>
        </w:rPr>
        <w:t>la proportion de ce qu’on appelle la « phase trouée » varie entre 9 et 30% avec une moyenne d’environ 19% (Kneeshaw et Prevost 2007). La taille des touées peut s’étendre à entre 20 et 2 100 m² (Kneeshaw et Prevost 2007).</w:t>
      </w:r>
      <w:r w:rsidRPr="00361DA2">
        <w:t xml:space="preserve"> </w:t>
      </w:r>
    </w:p>
    <w:p w:rsidR="00CE5299" w:rsidRDefault="00CE5299" w:rsidP="00CE5299">
      <w:pPr>
        <w:autoSpaceDE w:val="0"/>
        <w:autoSpaceDN w:val="0"/>
        <w:adjustRightInd w:val="0"/>
        <w:jc w:val="both"/>
      </w:pPr>
    </w:p>
    <w:p w:rsidR="00CE5299" w:rsidRPr="00A86E35" w:rsidRDefault="00CE5299" w:rsidP="00CE5299">
      <w:pPr>
        <w:autoSpaceDE w:val="0"/>
        <w:autoSpaceDN w:val="0"/>
        <w:adjustRightInd w:val="0"/>
        <w:jc w:val="both"/>
        <w:rPr>
          <w:sz w:val="23"/>
          <w:szCs w:val="23"/>
          <w:lang w:val="fr-CA" w:eastAsia="fr-CA"/>
        </w:rPr>
      </w:pPr>
      <w:r w:rsidRPr="00361DA2">
        <w:t xml:space="preserve">Les trouées </w:t>
      </w:r>
      <w:r>
        <w:t>de succession</w:t>
      </w:r>
      <w:r w:rsidRPr="00361DA2">
        <w:t xml:space="preserve"> sont créé</w:t>
      </w:r>
      <w:r>
        <w:t>es</w:t>
      </w:r>
      <w:r w:rsidRPr="00361DA2">
        <w:t xml:space="preserve"> par la mortalité partielle d’un arbre, la mort d’un arbre ou d’un groupe d’arbres. Une fois la trouée créé</w:t>
      </w:r>
      <w:r>
        <w:t>e</w:t>
      </w:r>
      <w:r w:rsidRPr="00361DA2">
        <w:t>, elle se referme graduellement soit avec les gaules qui occupe</w:t>
      </w:r>
      <w:r>
        <w:t>nt</w:t>
      </w:r>
      <w:r w:rsidRPr="00361DA2">
        <w:t xml:space="preserve"> la périphérie ou bien par les branche</w:t>
      </w:r>
      <w:r>
        <w:t>s</w:t>
      </w:r>
      <w:r w:rsidRPr="00361DA2">
        <w:t xml:space="preserve"> latérales des arbres en bordure de la trouée.</w:t>
      </w:r>
    </w:p>
    <w:p w:rsidR="00CE5299" w:rsidRPr="00361DA2" w:rsidRDefault="00CE5299" w:rsidP="00CE5299">
      <w:pPr>
        <w:spacing w:before="120" w:after="120"/>
        <w:jc w:val="both"/>
      </w:pPr>
      <w:r w:rsidRPr="00361DA2">
        <w:t xml:space="preserve">Selon Doyon et Sougavinski (2002), on remarque également que : </w:t>
      </w:r>
    </w:p>
    <w:p w:rsidR="00CE5299" w:rsidRPr="00361DA2" w:rsidRDefault="00CE5299" w:rsidP="00CE5299">
      <w:pPr>
        <w:numPr>
          <w:ilvl w:val="0"/>
          <w:numId w:val="8"/>
        </w:numPr>
        <w:spacing w:before="120" w:after="120" w:line="276" w:lineRule="auto"/>
        <w:jc w:val="both"/>
      </w:pPr>
      <w:r w:rsidRPr="00361DA2">
        <w:t>La fréquence des trouées augmente graduellement à mesure que la forêt se trouve plus au nord;</w:t>
      </w:r>
    </w:p>
    <w:p w:rsidR="00CE5299" w:rsidRPr="00361DA2" w:rsidRDefault="00CE5299" w:rsidP="00CE5299">
      <w:pPr>
        <w:numPr>
          <w:ilvl w:val="0"/>
          <w:numId w:val="8"/>
        </w:numPr>
        <w:spacing w:before="120" w:after="120" w:line="276" w:lineRule="auto"/>
        <w:jc w:val="both"/>
      </w:pPr>
      <w:r w:rsidRPr="00361DA2">
        <w:t>La taille des trouées dans les forêts feuillu</w:t>
      </w:r>
      <w:r>
        <w:t>e</w:t>
      </w:r>
      <w:r w:rsidRPr="00361DA2">
        <w:t>s dépasse rarement 100 m</w:t>
      </w:r>
      <w:r w:rsidRPr="00361DA2">
        <w:rPr>
          <w:vertAlign w:val="superscript"/>
        </w:rPr>
        <w:t>2</w:t>
      </w:r>
      <w:r w:rsidRPr="00361DA2">
        <w:t xml:space="preserve"> et demeure habituellement autour de 50 m</w:t>
      </w:r>
      <w:r w:rsidRPr="00361DA2">
        <w:rPr>
          <w:vertAlign w:val="superscript"/>
        </w:rPr>
        <w:t>2 </w:t>
      </w:r>
      <w:r w:rsidRPr="00361DA2">
        <w:t>;</w:t>
      </w:r>
    </w:p>
    <w:p w:rsidR="00CE5299" w:rsidRPr="00361DA2" w:rsidRDefault="00CE5299" w:rsidP="00CE5299">
      <w:pPr>
        <w:numPr>
          <w:ilvl w:val="0"/>
          <w:numId w:val="8"/>
        </w:numPr>
        <w:spacing w:before="120" w:after="120"/>
        <w:jc w:val="both"/>
      </w:pPr>
      <w:r w:rsidRPr="00361DA2">
        <w:t xml:space="preserve">Comme le risque de mortalité augmente avec l’âge pour les individus qui ont atteint la canopée, les arbres les plus gros (généralement les plus </w:t>
      </w:r>
      <w:r>
        <w:t>â</w:t>
      </w:r>
      <w:r w:rsidRPr="00361DA2">
        <w:t>gé</w:t>
      </w:r>
      <w:r w:rsidR="00C34D0A">
        <w:t>s)</w:t>
      </w:r>
      <w:r w:rsidRPr="00361DA2">
        <w:t xml:space="preserve"> forment généralement les trouées (Dahir et Lorimer 1996) ;</w:t>
      </w:r>
    </w:p>
    <w:p w:rsidR="00CE5299" w:rsidRPr="00361DA2" w:rsidRDefault="00CE5299" w:rsidP="00CE5299">
      <w:pPr>
        <w:numPr>
          <w:ilvl w:val="0"/>
          <w:numId w:val="8"/>
        </w:numPr>
        <w:spacing w:before="120" w:after="120"/>
        <w:jc w:val="both"/>
      </w:pPr>
      <w:r w:rsidRPr="00361DA2">
        <w:t>Les trouées sont généralement dispersées aléatoirement dans le paysage (Frelich et Lorimer 1991a) ;</w:t>
      </w:r>
    </w:p>
    <w:p w:rsidR="00CE5299" w:rsidRPr="00361DA2" w:rsidRDefault="00CE5299" w:rsidP="00CE5299">
      <w:pPr>
        <w:numPr>
          <w:ilvl w:val="0"/>
          <w:numId w:val="8"/>
        </w:numPr>
        <w:spacing w:before="120" w:after="120"/>
        <w:jc w:val="both"/>
      </w:pPr>
      <w:r w:rsidRPr="00361DA2">
        <w:t>Les trouées créées par la mort de plus d’un arbre peuvent également être observées, mais la possibilité de les observer diminue de manière exponentielle avec l’augmentation de leur dimension (Runkle 1982).</w:t>
      </w:r>
    </w:p>
    <w:p w:rsidR="00CE5299" w:rsidRPr="00361DA2" w:rsidRDefault="00CE5299" w:rsidP="00CE5299">
      <w:pPr>
        <w:spacing w:before="120" w:after="120"/>
        <w:ind w:left="360"/>
        <w:jc w:val="both"/>
      </w:pPr>
    </w:p>
    <w:p w:rsidR="00CE5299" w:rsidRPr="00361DA2" w:rsidRDefault="00CE5299" w:rsidP="00CE5299">
      <w:pPr>
        <w:spacing w:before="120" w:after="120"/>
        <w:jc w:val="both"/>
      </w:pPr>
      <w:r w:rsidRPr="00361DA2">
        <w:t xml:space="preserve">Les perturbations endogènes permettent le maintien des espèces en place surtout représentées par les espèces tolérantes à l’ombre. </w:t>
      </w:r>
      <w:r>
        <w:t>Ce régime favorise également les espèces peu tolérantes.</w:t>
      </w:r>
      <w:r>
        <w:rPr>
          <w:rStyle w:val="Marquedecommentaire"/>
        </w:rPr>
        <w:t xml:space="preserve"> </w:t>
      </w:r>
    </w:p>
    <w:p w:rsidR="00CE5299" w:rsidRPr="004050A3" w:rsidRDefault="004050A3" w:rsidP="004050A3">
      <w:pPr>
        <w:pStyle w:val="Titre3"/>
        <w:ind w:firstLine="708"/>
      </w:pPr>
      <w:bookmarkStart w:id="47" w:name="_Toc303235070"/>
      <w:bookmarkStart w:id="48" w:name="_Toc422129805"/>
      <w:bookmarkStart w:id="49" w:name="_Toc484513471"/>
      <w:r w:rsidRPr="004050A3">
        <w:t>3.3.5</w:t>
      </w:r>
      <w:r w:rsidR="00CE5299" w:rsidRPr="004050A3">
        <w:t xml:space="preserve"> Dépérissement du bouleau</w:t>
      </w:r>
      <w:bookmarkEnd w:id="47"/>
      <w:bookmarkEnd w:id="48"/>
      <w:bookmarkEnd w:id="49"/>
    </w:p>
    <w:p w:rsidR="00CE5299" w:rsidRPr="00A86E35" w:rsidRDefault="00CE5299" w:rsidP="00CE5299">
      <w:pPr>
        <w:autoSpaceDE w:val="0"/>
        <w:autoSpaceDN w:val="0"/>
        <w:adjustRightInd w:val="0"/>
        <w:spacing w:before="120" w:after="120"/>
        <w:jc w:val="both"/>
        <w:rPr>
          <w:lang w:val="fr-CA" w:eastAsia="fr-CA"/>
        </w:rPr>
      </w:pPr>
      <w:bookmarkStart w:id="50" w:name="_Toc303235071"/>
      <w:bookmarkStart w:id="51" w:name="_Toc233775138"/>
      <w:r w:rsidRPr="00A86E35">
        <w:rPr>
          <w:lang w:val="fr-CA" w:eastAsia="fr-CA"/>
        </w:rPr>
        <w:t xml:space="preserve">Le phénomène de dépérissement des cimes </w:t>
      </w:r>
      <w:r>
        <w:rPr>
          <w:lang w:val="fr-CA" w:eastAsia="fr-CA"/>
        </w:rPr>
        <w:t xml:space="preserve">qui fut </w:t>
      </w:r>
      <w:r w:rsidRPr="00A86E35">
        <w:rPr>
          <w:lang w:val="fr-CA" w:eastAsia="fr-CA"/>
        </w:rPr>
        <w:t>observé chez le bouleau à papier et le bouleau jaune marqu</w:t>
      </w:r>
      <w:r>
        <w:rPr>
          <w:lang w:val="fr-CA" w:eastAsia="fr-CA"/>
        </w:rPr>
        <w:t>a</w:t>
      </w:r>
      <w:r w:rsidRPr="00A86E35">
        <w:rPr>
          <w:lang w:val="fr-CA" w:eastAsia="fr-CA"/>
        </w:rPr>
        <w:t xml:space="preserve"> la fin des années 1940 sur le territoire de la Réserve forestière de Rouge-Matawin (MRNQ 1981). Le dépérissement affect</w:t>
      </w:r>
      <w:r>
        <w:rPr>
          <w:lang w:val="fr-CA" w:eastAsia="fr-CA"/>
        </w:rPr>
        <w:t>a</w:t>
      </w:r>
      <w:r w:rsidRPr="00A86E35">
        <w:rPr>
          <w:lang w:val="fr-CA" w:eastAsia="fr-CA"/>
        </w:rPr>
        <w:t xml:space="preserve"> principalement les peuplements matures et surannés de bouleau à papier et, dans une moindre mesure, ceux de bouleau jaune (CPC 1962).</w:t>
      </w:r>
    </w:p>
    <w:p w:rsidR="00CE5299" w:rsidRPr="000C4ECC" w:rsidRDefault="00CE5299" w:rsidP="00CE5299">
      <w:pPr>
        <w:autoSpaceDE w:val="0"/>
        <w:autoSpaceDN w:val="0"/>
        <w:adjustRightInd w:val="0"/>
        <w:spacing w:before="120" w:after="120"/>
        <w:jc w:val="both"/>
      </w:pPr>
      <w:r w:rsidRPr="00A86E35">
        <w:rPr>
          <w:lang w:val="fr-CA" w:eastAsia="fr-CA"/>
        </w:rPr>
        <w:t>La croissance des peuplements d’âge intermédiaire diminu</w:t>
      </w:r>
      <w:r>
        <w:rPr>
          <w:lang w:val="fr-CA" w:eastAsia="fr-CA"/>
        </w:rPr>
        <w:t xml:space="preserve">a </w:t>
      </w:r>
      <w:r w:rsidRPr="00A86E35">
        <w:rPr>
          <w:lang w:val="fr-CA" w:eastAsia="fr-CA"/>
        </w:rPr>
        <w:t xml:space="preserve">fortement alors que celle des jeunes tiges </w:t>
      </w:r>
      <w:r>
        <w:rPr>
          <w:lang w:val="fr-CA" w:eastAsia="fr-CA"/>
        </w:rPr>
        <w:t>fut</w:t>
      </w:r>
      <w:r w:rsidRPr="00A86E35">
        <w:rPr>
          <w:lang w:val="fr-CA" w:eastAsia="fr-CA"/>
        </w:rPr>
        <w:t xml:space="preserve"> peu affectée. Selon le MRNQ</w:t>
      </w:r>
      <w:r>
        <w:rPr>
          <w:lang w:val="fr-CA" w:eastAsia="fr-CA"/>
        </w:rPr>
        <w:t xml:space="preserve"> </w:t>
      </w:r>
      <w:r w:rsidRPr="004A3584">
        <w:rPr>
          <w:lang w:val="fr-CA" w:eastAsia="fr-CA"/>
        </w:rPr>
        <w:t xml:space="preserve">(1981), environ 20% des tiges de bouleau atteintes périrent alors que 40% subirent une baisse significative de vigueur. Toujours d’après le MRNQ (1981), les tiges atteintes par cette maladie pouvaient mourir entre deux à six ans après l’attaque. Il semble que la progression de </w:t>
      </w:r>
      <w:r w:rsidRPr="000C4ECC">
        <w:rPr>
          <w:lang w:val="fr-CA" w:eastAsia="fr-CA"/>
        </w:rPr>
        <w:t>cette maladie ait cessé vers 1953.</w:t>
      </w:r>
      <w:r>
        <w:rPr>
          <w:lang w:val="fr-CA" w:eastAsia="fr-CA"/>
        </w:rPr>
        <w:t xml:space="preserve"> À ce jour, r</w:t>
      </w:r>
      <w:r w:rsidRPr="00A86E35">
        <w:rPr>
          <w:lang w:val="fr-CA" w:eastAsia="fr-CA"/>
        </w:rPr>
        <w:t>ien</w:t>
      </w:r>
      <w:r>
        <w:rPr>
          <w:lang w:val="fr-CA" w:eastAsia="fr-CA"/>
        </w:rPr>
        <w:t xml:space="preserve"> </w:t>
      </w:r>
      <w:r w:rsidRPr="00A86E35">
        <w:rPr>
          <w:lang w:val="fr-CA" w:eastAsia="fr-CA"/>
        </w:rPr>
        <w:t>n</w:t>
      </w:r>
      <w:r>
        <w:rPr>
          <w:lang w:val="fr-CA" w:eastAsia="fr-CA"/>
        </w:rPr>
        <w:t>e</w:t>
      </w:r>
      <w:r w:rsidRPr="00A86E35">
        <w:rPr>
          <w:lang w:val="fr-CA" w:eastAsia="fr-CA"/>
        </w:rPr>
        <w:t xml:space="preserve"> perm</w:t>
      </w:r>
      <w:r w:rsidR="00C34D0A">
        <w:rPr>
          <w:lang w:val="fr-CA" w:eastAsia="fr-CA"/>
        </w:rPr>
        <w:t>et</w:t>
      </w:r>
      <w:r w:rsidRPr="00A86E35">
        <w:rPr>
          <w:lang w:val="fr-CA" w:eastAsia="fr-CA"/>
        </w:rPr>
        <w:t xml:space="preserve"> de déterminer avec exactitude l’agent et/ou les causes responsables de l’apparition de ce dépérissement. </w:t>
      </w:r>
      <w:r w:rsidRPr="000C4ECC">
        <w:t xml:space="preserve"> </w:t>
      </w:r>
    </w:p>
    <w:p w:rsidR="00CE5299" w:rsidRDefault="00CE5299" w:rsidP="00CE5299">
      <w:pPr>
        <w:jc w:val="both"/>
        <w:rPr>
          <w:rStyle w:val="Titre2Car"/>
        </w:rPr>
      </w:pPr>
      <w:bookmarkStart w:id="52" w:name="_Toc422129806"/>
      <w:bookmarkStart w:id="53" w:name="_Ref210035536"/>
      <w:bookmarkStart w:id="54" w:name="_Ref210809215"/>
      <w:bookmarkStart w:id="55" w:name="_Toc233775149"/>
      <w:bookmarkEnd w:id="50"/>
      <w:bookmarkEnd w:id="51"/>
    </w:p>
    <w:p w:rsidR="006A4F59" w:rsidRPr="006A4F59" w:rsidRDefault="00CE5299" w:rsidP="006A4F59">
      <w:pPr>
        <w:numPr>
          <w:ilvl w:val="1"/>
          <w:numId w:val="15"/>
        </w:numPr>
        <w:jc w:val="both"/>
        <w:rPr>
          <w:rFonts w:ascii="Arial" w:hAnsi="Arial" w:cs="Arial"/>
          <w:b/>
          <w:bCs/>
          <w:i/>
          <w:iCs/>
          <w:sz w:val="26"/>
          <w:szCs w:val="28"/>
        </w:rPr>
      </w:pPr>
      <w:bookmarkStart w:id="56" w:name="_Toc484513472"/>
      <w:r w:rsidRPr="00100F79">
        <w:rPr>
          <w:rStyle w:val="Titre2Car"/>
        </w:rPr>
        <w:t>Portrait synthèse</w:t>
      </w:r>
      <w:bookmarkEnd w:id="52"/>
      <w:bookmarkEnd w:id="56"/>
    </w:p>
    <w:p w:rsidR="00CE5299" w:rsidRDefault="006A4F59" w:rsidP="006A4F59">
      <w:r w:rsidRPr="006A4F59">
        <w:rPr>
          <w:bCs/>
          <w:sz w:val="22"/>
          <w:szCs w:val="18"/>
        </w:rPr>
        <w:t>Le</w:t>
      </w:r>
      <w:r>
        <w:rPr>
          <w:bCs/>
          <w:sz w:val="22"/>
          <w:szCs w:val="18"/>
        </w:rPr>
        <w:t xml:space="preserve"> </w:t>
      </w:r>
      <w:r w:rsidR="004050A3">
        <w:rPr>
          <w:bCs/>
          <w:sz w:val="22"/>
          <w:szCs w:val="18"/>
        </w:rPr>
        <w:fldChar w:fldCharType="begin"/>
      </w:r>
      <w:r w:rsidR="004050A3">
        <w:rPr>
          <w:bCs/>
          <w:sz w:val="22"/>
          <w:szCs w:val="18"/>
        </w:rPr>
        <w:instrText xml:space="preserve"> REF _Ref484512674 \h </w:instrText>
      </w:r>
      <w:r w:rsidR="004050A3">
        <w:rPr>
          <w:bCs/>
          <w:sz w:val="22"/>
          <w:szCs w:val="18"/>
        </w:rPr>
      </w:r>
      <w:r w:rsidR="004050A3">
        <w:rPr>
          <w:bCs/>
          <w:sz w:val="22"/>
          <w:szCs w:val="18"/>
        </w:rPr>
        <w:fldChar w:fldCharType="separate"/>
      </w:r>
      <w:r w:rsidR="00241D60">
        <w:t xml:space="preserve">Tableau </w:t>
      </w:r>
      <w:r w:rsidR="00241D60">
        <w:rPr>
          <w:noProof/>
        </w:rPr>
        <w:t>4</w:t>
      </w:r>
      <w:r w:rsidR="004050A3">
        <w:rPr>
          <w:bCs/>
          <w:sz w:val="22"/>
          <w:szCs w:val="18"/>
        </w:rPr>
        <w:fldChar w:fldCharType="end"/>
      </w:r>
      <w:r w:rsidR="004050A3">
        <w:rPr>
          <w:bCs/>
          <w:sz w:val="22"/>
          <w:szCs w:val="18"/>
        </w:rPr>
        <w:t xml:space="preserve"> </w:t>
      </w:r>
      <w:r w:rsidR="00CE5299">
        <w:t>présente un sommaire des principaux éléments liés aux perturbations naturelles. Le type et la fréquence des perturbations naturelles décrivent les enjeux actuellement reconnus pour ce territoire.</w:t>
      </w:r>
    </w:p>
    <w:p w:rsidR="00CE5299" w:rsidRDefault="00CE5299" w:rsidP="00CE5299">
      <w:pPr>
        <w:pStyle w:val="Lgende"/>
        <w:spacing w:before="120" w:after="120"/>
        <w:jc w:val="both"/>
      </w:pPr>
      <w:r>
        <w:t xml:space="preserve"> </w:t>
      </w:r>
      <w:bookmarkStart w:id="57" w:name="_Ref332189706"/>
      <w:bookmarkStart w:id="58" w:name="_Toc421716922"/>
    </w:p>
    <w:p w:rsidR="00CE5299" w:rsidRPr="00EF50BB" w:rsidRDefault="00CE5299" w:rsidP="00CE5299">
      <w:pPr>
        <w:pStyle w:val="Lgende"/>
        <w:spacing w:before="120" w:after="120"/>
        <w:jc w:val="both"/>
      </w:pPr>
      <w:bookmarkStart w:id="59" w:name="_Ref484512674"/>
      <w:bookmarkStart w:id="60" w:name="_Ref484512649"/>
      <w:bookmarkStart w:id="61" w:name="_Toc484513484"/>
      <w:r>
        <w:t xml:space="preserve">Tableau </w:t>
      </w:r>
      <w:r w:rsidR="00FD33B5">
        <w:fldChar w:fldCharType="begin"/>
      </w:r>
      <w:r w:rsidR="00FD33B5">
        <w:instrText xml:space="preserve"> SEQ Tableau \* ARABIC </w:instrText>
      </w:r>
      <w:r w:rsidR="00FD33B5">
        <w:fldChar w:fldCharType="separate"/>
      </w:r>
      <w:r w:rsidR="00241D60">
        <w:rPr>
          <w:noProof/>
        </w:rPr>
        <w:t>4</w:t>
      </w:r>
      <w:r w:rsidR="00FD33B5">
        <w:rPr>
          <w:noProof/>
        </w:rPr>
        <w:fldChar w:fldCharType="end"/>
      </w:r>
      <w:bookmarkEnd w:id="57"/>
      <w:bookmarkEnd w:id="59"/>
      <w:r>
        <w:t>.  S</w:t>
      </w:r>
      <w:r w:rsidRPr="00F36864">
        <w:t xml:space="preserve">ynthèse des </w:t>
      </w:r>
      <w:r>
        <w:t>éléments à considérer selon les perturbations naturelles</w:t>
      </w:r>
      <w:bookmarkEnd w:id="58"/>
      <w:bookmarkEnd w:id="60"/>
      <w:bookmarkEnd w:id="61"/>
      <w:r>
        <w:t xml:space="preserve"> </w:t>
      </w:r>
    </w:p>
    <w:tbl>
      <w:tblPr>
        <w:tblW w:w="949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1475"/>
        <w:gridCol w:w="1385"/>
        <w:gridCol w:w="1355"/>
        <w:gridCol w:w="2731"/>
        <w:gridCol w:w="2268"/>
        <w:gridCol w:w="284"/>
      </w:tblGrid>
      <w:tr w:rsidR="00CE5299" w:rsidRPr="00361DA2" w:rsidTr="00F77507">
        <w:trPr>
          <w:gridAfter w:val="1"/>
          <w:wAfter w:w="284" w:type="dxa"/>
        </w:trPr>
        <w:tc>
          <w:tcPr>
            <w:tcW w:w="1475" w:type="dxa"/>
            <w:tcBorders>
              <w:top w:val="double" w:sz="4" w:space="0" w:color="auto"/>
              <w:bottom w:val="double" w:sz="4" w:space="0" w:color="auto"/>
            </w:tcBorders>
            <w:shd w:val="clear" w:color="auto" w:fill="auto"/>
          </w:tcPr>
          <w:p w:rsidR="00CE5299" w:rsidRPr="00361DA2" w:rsidRDefault="00CE5299" w:rsidP="00CE5299">
            <w:pPr>
              <w:spacing w:before="60"/>
              <w:jc w:val="both"/>
              <w:rPr>
                <w:b/>
                <w:sz w:val="20"/>
                <w:szCs w:val="20"/>
              </w:rPr>
            </w:pPr>
            <w:r>
              <w:rPr>
                <w:b/>
                <w:sz w:val="20"/>
                <w:szCs w:val="20"/>
              </w:rPr>
              <w:t>A</w:t>
            </w:r>
            <w:r w:rsidRPr="00361DA2">
              <w:rPr>
                <w:b/>
                <w:sz w:val="20"/>
                <w:szCs w:val="20"/>
              </w:rPr>
              <w:t>spect</w:t>
            </w:r>
          </w:p>
        </w:tc>
        <w:tc>
          <w:tcPr>
            <w:tcW w:w="2740" w:type="dxa"/>
            <w:gridSpan w:val="2"/>
            <w:tcBorders>
              <w:top w:val="double" w:sz="4" w:space="0" w:color="auto"/>
              <w:bottom w:val="double" w:sz="4" w:space="0" w:color="auto"/>
            </w:tcBorders>
            <w:shd w:val="clear" w:color="auto" w:fill="auto"/>
          </w:tcPr>
          <w:p w:rsidR="00CE5299" w:rsidRPr="00361DA2" w:rsidRDefault="00CE5299" w:rsidP="00CE5299">
            <w:pPr>
              <w:spacing w:before="60"/>
              <w:jc w:val="both"/>
              <w:rPr>
                <w:b/>
                <w:sz w:val="20"/>
                <w:szCs w:val="20"/>
              </w:rPr>
            </w:pPr>
            <w:r w:rsidRPr="00361DA2">
              <w:rPr>
                <w:b/>
                <w:sz w:val="20"/>
                <w:szCs w:val="20"/>
              </w:rPr>
              <w:t>Catégories</w:t>
            </w:r>
          </w:p>
        </w:tc>
        <w:tc>
          <w:tcPr>
            <w:tcW w:w="2731" w:type="dxa"/>
            <w:tcBorders>
              <w:top w:val="double" w:sz="4" w:space="0" w:color="auto"/>
              <w:bottom w:val="double" w:sz="4" w:space="0" w:color="auto"/>
            </w:tcBorders>
            <w:shd w:val="clear" w:color="auto" w:fill="auto"/>
          </w:tcPr>
          <w:p w:rsidR="00CE5299" w:rsidRDefault="00CE5299" w:rsidP="00CE5299">
            <w:pPr>
              <w:spacing w:before="60"/>
              <w:jc w:val="both"/>
              <w:rPr>
                <w:b/>
                <w:sz w:val="20"/>
                <w:szCs w:val="20"/>
              </w:rPr>
            </w:pPr>
            <w:r>
              <w:rPr>
                <w:b/>
                <w:sz w:val="20"/>
                <w:szCs w:val="20"/>
              </w:rPr>
              <w:t xml:space="preserve">Conséquence sur la structure résiduelle </w:t>
            </w:r>
          </w:p>
          <w:p w:rsidR="00CE5299" w:rsidRPr="00361DA2" w:rsidRDefault="00CE5299" w:rsidP="00CE5299">
            <w:pPr>
              <w:spacing w:before="60"/>
              <w:jc w:val="both"/>
              <w:rPr>
                <w:b/>
                <w:sz w:val="20"/>
                <w:szCs w:val="20"/>
              </w:rPr>
            </w:pPr>
            <w:r>
              <w:rPr>
                <w:b/>
                <w:sz w:val="20"/>
                <w:szCs w:val="20"/>
              </w:rPr>
              <w:t>Érablière à bouleau jaune (061-52)</w:t>
            </w:r>
          </w:p>
        </w:tc>
        <w:tc>
          <w:tcPr>
            <w:tcW w:w="2268" w:type="dxa"/>
            <w:tcBorders>
              <w:top w:val="double" w:sz="4" w:space="0" w:color="auto"/>
              <w:bottom w:val="double" w:sz="4" w:space="0" w:color="auto"/>
            </w:tcBorders>
          </w:tcPr>
          <w:p w:rsidR="00CE5299" w:rsidRDefault="00CE5299" w:rsidP="00CE5299">
            <w:pPr>
              <w:spacing w:before="60"/>
              <w:ind w:left="-105" w:right="37"/>
              <w:jc w:val="both"/>
              <w:rPr>
                <w:b/>
                <w:sz w:val="20"/>
                <w:szCs w:val="20"/>
              </w:rPr>
            </w:pPr>
            <w:r>
              <w:rPr>
                <w:b/>
                <w:sz w:val="20"/>
                <w:szCs w:val="20"/>
              </w:rPr>
              <w:t>Conséquence sur la structure résiduelle</w:t>
            </w:r>
          </w:p>
          <w:p w:rsidR="00CE5299" w:rsidRDefault="00CE5299" w:rsidP="00CE5299">
            <w:pPr>
              <w:tabs>
                <w:tab w:val="left" w:pos="0"/>
              </w:tabs>
              <w:spacing w:before="60"/>
              <w:ind w:left="-105" w:right="37"/>
              <w:jc w:val="both"/>
              <w:rPr>
                <w:b/>
                <w:sz w:val="20"/>
                <w:szCs w:val="20"/>
              </w:rPr>
            </w:pPr>
            <w:r>
              <w:rPr>
                <w:b/>
                <w:sz w:val="20"/>
                <w:szCs w:val="20"/>
              </w:rPr>
              <w:t>Sapinière à bouleau jaune (062-52)</w:t>
            </w:r>
          </w:p>
        </w:tc>
      </w:tr>
      <w:tr w:rsidR="00CE5299" w:rsidRPr="00361DA2" w:rsidTr="00F77507">
        <w:trPr>
          <w:trHeight w:val="1435"/>
        </w:trPr>
        <w:tc>
          <w:tcPr>
            <w:tcW w:w="1475" w:type="dxa"/>
            <w:vMerge w:val="restart"/>
            <w:tcBorders>
              <w:top w:val="double" w:sz="4" w:space="0" w:color="auto"/>
            </w:tcBorders>
            <w:shd w:val="clear" w:color="auto" w:fill="auto"/>
          </w:tcPr>
          <w:p w:rsidR="00CE5299" w:rsidRPr="00361DA2" w:rsidRDefault="00CE5299" w:rsidP="00CE5299">
            <w:pPr>
              <w:spacing w:before="60"/>
              <w:jc w:val="both"/>
              <w:rPr>
                <w:sz w:val="20"/>
                <w:szCs w:val="20"/>
              </w:rPr>
            </w:pPr>
            <w:r w:rsidRPr="00361DA2">
              <w:rPr>
                <w:sz w:val="20"/>
                <w:szCs w:val="20"/>
              </w:rPr>
              <w:t>Sévérité des perturbations</w:t>
            </w:r>
          </w:p>
        </w:tc>
        <w:tc>
          <w:tcPr>
            <w:tcW w:w="1385" w:type="dxa"/>
            <w:tcBorders>
              <w:top w:val="double" w:sz="4" w:space="0" w:color="auto"/>
              <w:bottom w:val="double" w:sz="4" w:space="0" w:color="auto"/>
            </w:tcBorders>
            <w:shd w:val="clear" w:color="auto" w:fill="auto"/>
          </w:tcPr>
          <w:p w:rsidR="00CE5299" w:rsidRPr="00361DA2" w:rsidRDefault="00CE5299" w:rsidP="00CE5299">
            <w:pPr>
              <w:spacing w:before="60"/>
              <w:jc w:val="both"/>
              <w:rPr>
                <w:sz w:val="20"/>
                <w:szCs w:val="20"/>
              </w:rPr>
            </w:pPr>
            <w:r w:rsidRPr="00361DA2">
              <w:rPr>
                <w:sz w:val="20"/>
                <w:szCs w:val="20"/>
              </w:rPr>
              <w:t>Forêt résiduelle</w:t>
            </w:r>
          </w:p>
        </w:tc>
        <w:tc>
          <w:tcPr>
            <w:tcW w:w="1355" w:type="dxa"/>
            <w:tcBorders>
              <w:top w:val="double" w:sz="4" w:space="0" w:color="auto"/>
              <w:bottom w:val="double" w:sz="4" w:space="0" w:color="auto"/>
            </w:tcBorders>
            <w:shd w:val="clear" w:color="auto" w:fill="auto"/>
          </w:tcPr>
          <w:p w:rsidR="00CE5299" w:rsidRPr="00361DA2" w:rsidRDefault="00CE5299" w:rsidP="00CE5299">
            <w:pPr>
              <w:spacing w:before="60"/>
              <w:jc w:val="both"/>
              <w:rPr>
                <w:sz w:val="20"/>
                <w:szCs w:val="20"/>
              </w:rPr>
            </w:pPr>
            <w:r w:rsidRPr="00361DA2">
              <w:rPr>
                <w:sz w:val="20"/>
                <w:szCs w:val="20"/>
              </w:rPr>
              <w:t>Feux</w:t>
            </w:r>
          </w:p>
        </w:tc>
        <w:tc>
          <w:tcPr>
            <w:tcW w:w="2731" w:type="dxa"/>
            <w:tcBorders>
              <w:top w:val="double" w:sz="4" w:space="0" w:color="auto"/>
              <w:bottom w:val="double" w:sz="4" w:space="0" w:color="auto"/>
            </w:tcBorders>
            <w:shd w:val="clear" w:color="auto" w:fill="auto"/>
          </w:tcPr>
          <w:p w:rsidR="00CE5299" w:rsidRPr="001F050C" w:rsidRDefault="00CE5299" w:rsidP="00CE5299">
            <w:pPr>
              <w:numPr>
                <w:ilvl w:val="0"/>
                <w:numId w:val="10"/>
              </w:numPr>
              <w:spacing w:before="60" w:line="276" w:lineRule="auto"/>
              <w:ind w:left="449" w:right="-108" w:hanging="142"/>
              <w:jc w:val="both"/>
              <w:rPr>
                <w:sz w:val="18"/>
                <w:szCs w:val="18"/>
              </w:rPr>
            </w:pPr>
            <w:r w:rsidRPr="001F050C">
              <w:rPr>
                <w:sz w:val="18"/>
                <w:szCs w:val="18"/>
              </w:rPr>
              <w:t>Entre 2,6 et 5% d’îlots d’arbres verts en rétention</w:t>
            </w:r>
          </w:p>
          <w:p w:rsidR="00CE5299" w:rsidRPr="001F050C" w:rsidRDefault="00CE5299" w:rsidP="00CE5299">
            <w:pPr>
              <w:numPr>
                <w:ilvl w:val="0"/>
                <w:numId w:val="10"/>
              </w:numPr>
              <w:spacing w:before="60" w:line="276" w:lineRule="auto"/>
              <w:ind w:left="449" w:right="-108" w:hanging="142"/>
              <w:jc w:val="both"/>
              <w:rPr>
                <w:sz w:val="18"/>
                <w:szCs w:val="18"/>
              </w:rPr>
            </w:pPr>
            <w:r w:rsidRPr="001F050C">
              <w:rPr>
                <w:sz w:val="18"/>
                <w:szCs w:val="18"/>
              </w:rPr>
              <w:t>Environ 19% de péninsules d’arbres verts</w:t>
            </w:r>
          </w:p>
          <w:p w:rsidR="00CE5299" w:rsidRPr="001F050C" w:rsidRDefault="00CE5299" w:rsidP="00CE5299">
            <w:pPr>
              <w:numPr>
                <w:ilvl w:val="0"/>
                <w:numId w:val="10"/>
              </w:numPr>
              <w:spacing w:before="60" w:line="276" w:lineRule="auto"/>
              <w:ind w:left="449" w:right="-108" w:hanging="142"/>
              <w:jc w:val="both"/>
              <w:rPr>
                <w:sz w:val="18"/>
                <w:szCs w:val="18"/>
              </w:rPr>
            </w:pPr>
            <w:r w:rsidRPr="001F050C">
              <w:rPr>
                <w:sz w:val="18"/>
                <w:szCs w:val="18"/>
              </w:rPr>
              <w:t xml:space="preserve"> Gradient de rétention d’arbres verts variant de 36% pour les forêts feuillues à 10% pour les forêts résineuses</w:t>
            </w:r>
          </w:p>
        </w:tc>
        <w:tc>
          <w:tcPr>
            <w:tcW w:w="2552" w:type="dxa"/>
            <w:gridSpan w:val="2"/>
            <w:tcBorders>
              <w:top w:val="double" w:sz="4" w:space="0" w:color="auto"/>
              <w:bottom w:val="double" w:sz="4" w:space="0" w:color="auto"/>
            </w:tcBorders>
          </w:tcPr>
          <w:p w:rsidR="00CE5299" w:rsidRPr="001F050C" w:rsidRDefault="00CE5299" w:rsidP="00CE5299">
            <w:pPr>
              <w:numPr>
                <w:ilvl w:val="0"/>
                <w:numId w:val="10"/>
              </w:numPr>
              <w:spacing w:before="60" w:line="276" w:lineRule="auto"/>
              <w:ind w:left="178" w:right="318" w:hanging="165"/>
              <w:jc w:val="both"/>
              <w:rPr>
                <w:sz w:val="18"/>
                <w:szCs w:val="18"/>
              </w:rPr>
            </w:pPr>
            <w:r w:rsidRPr="001F050C">
              <w:rPr>
                <w:sz w:val="18"/>
                <w:szCs w:val="18"/>
              </w:rPr>
              <w:t>Idem ERBJ :Entre 2,6 et 5% d’îlots d’arbres verts en rétention</w:t>
            </w:r>
          </w:p>
          <w:p w:rsidR="00CE5299" w:rsidRPr="001F050C" w:rsidRDefault="00CE5299" w:rsidP="00CE5299">
            <w:pPr>
              <w:numPr>
                <w:ilvl w:val="0"/>
                <w:numId w:val="10"/>
              </w:numPr>
              <w:spacing w:before="60" w:line="276" w:lineRule="auto"/>
              <w:ind w:left="178" w:right="318" w:hanging="142"/>
              <w:jc w:val="both"/>
              <w:rPr>
                <w:sz w:val="18"/>
                <w:szCs w:val="18"/>
              </w:rPr>
            </w:pPr>
            <w:r w:rsidRPr="001F050C">
              <w:rPr>
                <w:sz w:val="18"/>
                <w:szCs w:val="18"/>
              </w:rPr>
              <w:t>Idem ERBJ : environ 19% de péninsules d’arbres verts</w:t>
            </w:r>
          </w:p>
          <w:p w:rsidR="00CE5299" w:rsidRPr="001F050C" w:rsidRDefault="00CE5299" w:rsidP="00CE5299">
            <w:pPr>
              <w:pStyle w:val="Paragraphedeliste"/>
              <w:numPr>
                <w:ilvl w:val="0"/>
                <w:numId w:val="14"/>
              </w:numPr>
              <w:spacing w:before="60"/>
              <w:ind w:left="178" w:right="318" w:hanging="142"/>
              <w:rPr>
                <w:rFonts w:eastAsia="Times New Roman"/>
                <w:sz w:val="18"/>
                <w:szCs w:val="18"/>
              </w:rPr>
            </w:pPr>
            <w:r w:rsidRPr="001F050C">
              <w:rPr>
                <w:rFonts w:eastAsia="Times New Roman"/>
                <w:sz w:val="18"/>
                <w:szCs w:val="18"/>
              </w:rPr>
              <w:t>Gradient de rétention d’arbres verts variant de</w:t>
            </w:r>
            <w:r w:rsidRPr="001F050C">
              <w:rPr>
                <w:sz w:val="18"/>
                <w:szCs w:val="18"/>
                <w:shd w:val="clear" w:color="auto" w:fill="FFFFFF"/>
              </w:rPr>
              <w:t xml:space="preserve"> 7,3 à 19,1%</w:t>
            </w:r>
          </w:p>
        </w:tc>
      </w:tr>
      <w:tr w:rsidR="00CE5299" w:rsidRPr="00361DA2" w:rsidTr="00F77507">
        <w:trPr>
          <w:trHeight w:val="694"/>
        </w:trPr>
        <w:tc>
          <w:tcPr>
            <w:tcW w:w="1475" w:type="dxa"/>
            <w:vMerge/>
            <w:shd w:val="clear" w:color="auto" w:fill="auto"/>
          </w:tcPr>
          <w:p w:rsidR="00CE5299" w:rsidRPr="00361DA2" w:rsidRDefault="00CE5299" w:rsidP="00CE5299">
            <w:pPr>
              <w:spacing w:before="60"/>
              <w:jc w:val="both"/>
              <w:rPr>
                <w:sz w:val="20"/>
                <w:szCs w:val="20"/>
              </w:rPr>
            </w:pPr>
          </w:p>
        </w:tc>
        <w:tc>
          <w:tcPr>
            <w:tcW w:w="1385" w:type="dxa"/>
            <w:vMerge w:val="restart"/>
            <w:tcBorders>
              <w:top w:val="double" w:sz="4" w:space="0" w:color="auto"/>
              <w:bottom w:val="nil"/>
              <w:right w:val="nil"/>
            </w:tcBorders>
            <w:shd w:val="clear" w:color="auto" w:fill="auto"/>
          </w:tcPr>
          <w:p w:rsidR="00CE5299" w:rsidRPr="00361DA2" w:rsidRDefault="00CE5299" w:rsidP="00CE5299">
            <w:pPr>
              <w:spacing w:before="60"/>
              <w:jc w:val="both"/>
              <w:rPr>
                <w:sz w:val="20"/>
                <w:szCs w:val="20"/>
              </w:rPr>
            </w:pPr>
            <w:r w:rsidRPr="00361DA2">
              <w:rPr>
                <w:sz w:val="20"/>
                <w:szCs w:val="20"/>
              </w:rPr>
              <w:t>Mortalité</w:t>
            </w:r>
          </w:p>
        </w:tc>
        <w:tc>
          <w:tcPr>
            <w:tcW w:w="1355" w:type="dxa"/>
            <w:tcBorders>
              <w:top w:val="double" w:sz="4" w:space="0" w:color="auto"/>
              <w:left w:val="nil"/>
              <w:bottom w:val="single" w:sz="4" w:space="0" w:color="000000"/>
              <w:right w:val="nil"/>
            </w:tcBorders>
            <w:shd w:val="clear" w:color="auto" w:fill="auto"/>
          </w:tcPr>
          <w:p w:rsidR="00CE5299" w:rsidRPr="00361DA2" w:rsidRDefault="00CE5299" w:rsidP="00CE5299">
            <w:pPr>
              <w:spacing w:before="60"/>
              <w:jc w:val="both"/>
              <w:rPr>
                <w:sz w:val="20"/>
                <w:szCs w:val="20"/>
              </w:rPr>
            </w:pPr>
            <w:r w:rsidRPr="00361DA2">
              <w:rPr>
                <w:sz w:val="20"/>
                <w:szCs w:val="20"/>
              </w:rPr>
              <w:t>TBE</w:t>
            </w:r>
          </w:p>
        </w:tc>
        <w:tc>
          <w:tcPr>
            <w:tcW w:w="2731" w:type="dxa"/>
            <w:tcBorders>
              <w:top w:val="double" w:sz="4" w:space="0" w:color="auto"/>
              <w:left w:val="nil"/>
              <w:bottom w:val="single" w:sz="4" w:space="0" w:color="000000"/>
              <w:right w:val="nil"/>
            </w:tcBorders>
            <w:shd w:val="clear" w:color="auto" w:fill="auto"/>
          </w:tcPr>
          <w:p w:rsidR="00CE5299" w:rsidRPr="001F050C" w:rsidRDefault="00CE5299" w:rsidP="00CE5299">
            <w:pPr>
              <w:numPr>
                <w:ilvl w:val="0"/>
                <w:numId w:val="10"/>
              </w:numPr>
              <w:spacing w:before="60" w:line="276" w:lineRule="auto"/>
              <w:ind w:left="449" w:right="-108" w:hanging="142"/>
              <w:jc w:val="both"/>
              <w:rPr>
                <w:sz w:val="18"/>
                <w:szCs w:val="18"/>
              </w:rPr>
            </w:pPr>
            <w:r w:rsidRPr="001F050C">
              <w:rPr>
                <w:sz w:val="18"/>
                <w:szCs w:val="18"/>
              </w:rPr>
              <w:t xml:space="preserve"> la mortalité causée par la TBE entraîne une réduction de la densité du peuplement et un changement de composition</w:t>
            </w:r>
          </w:p>
        </w:tc>
        <w:tc>
          <w:tcPr>
            <w:tcW w:w="2552" w:type="dxa"/>
            <w:gridSpan w:val="2"/>
            <w:tcBorders>
              <w:top w:val="double" w:sz="4" w:space="0" w:color="auto"/>
              <w:left w:val="nil"/>
              <w:bottom w:val="single" w:sz="4" w:space="0" w:color="000000"/>
              <w:right w:val="nil"/>
            </w:tcBorders>
          </w:tcPr>
          <w:p w:rsidR="00CE5299" w:rsidRPr="001F050C" w:rsidRDefault="00CE5299" w:rsidP="00CE5299">
            <w:pPr>
              <w:pStyle w:val="Paragraphedeliste"/>
              <w:numPr>
                <w:ilvl w:val="0"/>
                <w:numId w:val="10"/>
              </w:numPr>
              <w:tabs>
                <w:tab w:val="left" w:pos="449"/>
              </w:tabs>
              <w:spacing w:before="60"/>
              <w:ind w:left="178" w:right="318" w:hanging="142"/>
              <w:rPr>
                <w:rFonts w:eastAsia="Times New Roman"/>
                <w:sz w:val="18"/>
                <w:szCs w:val="18"/>
              </w:rPr>
            </w:pPr>
            <w:r w:rsidRPr="001F050C">
              <w:rPr>
                <w:rFonts w:eastAsia="Times New Roman"/>
                <w:sz w:val="18"/>
                <w:szCs w:val="18"/>
              </w:rPr>
              <w:t>Plus grand impact</w:t>
            </w:r>
            <w:r w:rsidR="000E0DC5">
              <w:rPr>
                <w:rFonts w:eastAsia="Times New Roman"/>
                <w:sz w:val="18"/>
                <w:szCs w:val="18"/>
              </w:rPr>
              <w:t xml:space="preserve">e </w:t>
            </w:r>
            <w:r w:rsidRPr="001F050C">
              <w:rPr>
                <w:rFonts w:eastAsia="Times New Roman"/>
                <w:sz w:val="18"/>
                <w:szCs w:val="18"/>
              </w:rPr>
              <w:t xml:space="preserve">dans les forêts plus pures où le sapin est dominant 75% de mortalité. </w:t>
            </w:r>
          </w:p>
        </w:tc>
      </w:tr>
      <w:tr w:rsidR="00CE5299" w:rsidRPr="00361DA2" w:rsidTr="00F77507">
        <w:trPr>
          <w:trHeight w:val="694"/>
        </w:trPr>
        <w:tc>
          <w:tcPr>
            <w:tcW w:w="1475" w:type="dxa"/>
            <w:vMerge/>
            <w:tcBorders>
              <w:bottom w:val="double" w:sz="4" w:space="0" w:color="auto"/>
            </w:tcBorders>
            <w:shd w:val="clear" w:color="auto" w:fill="auto"/>
          </w:tcPr>
          <w:p w:rsidR="00CE5299" w:rsidRPr="00361DA2" w:rsidRDefault="00CE5299" w:rsidP="00CE5299">
            <w:pPr>
              <w:spacing w:before="60"/>
              <w:jc w:val="both"/>
              <w:rPr>
                <w:sz w:val="20"/>
                <w:szCs w:val="20"/>
              </w:rPr>
            </w:pPr>
          </w:p>
        </w:tc>
        <w:tc>
          <w:tcPr>
            <w:tcW w:w="1385" w:type="dxa"/>
            <w:vMerge/>
            <w:tcBorders>
              <w:top w:val="nil"/>
              <w:bottom w:val="double" w:sz="4" w:space="0" w:color="auto"/>
              <w:right w:val="nil"/>
            </w:tcBorders>
            <w:shd w:val="clear" w:color="auto" w:fill="auto"/>
          </w:tcPr>
          <w:p w:rsidR="00CE5299" w:rsidRPr="00361DA2" w:rsidRDefault="00CE5299" w:rsidP="00CE5299">
            <w:pPr>
              <w:spacing w:before="60"/>
              <w:jc w:val="both"/>
              <w:rPr>
                <w:sz w:val="20"/>
                <w:szCs w:val="20"/>
              </w:rPr>
            </w:pPr>
          </w:p>
        </w:tc>
        <w:tc>
          <w:tcPr>
            <w:tcW w:w="1355" w:type="dxa"/>
            <w:tcBorders>
              <w:top w:val="single" w:sz="4" w:space="0" w:color="000000"/>
              <w:left w:val="nil"/>
              <w:bottom w:val="double" w:sz="4" w:space="0" w:color="auto"/>
              <w:right w:val="nil"/>
            </w:tcBorders>
            <w:shd w:val="clear" w:color="auto" w:fill="auto"/>
          </w:tcPr>
          <w:p w:rsidR="00CE5299" w:rsidRPr="00361DA2" w:rsidRDefault="00CE5299" w:rsidP="00CE5299">
            <w:pPr>
              <w:spacing w:before="60"/>
              <w:jc w:val="both"/>
              <w:rPr>
                <w:sz w:val="20"/>
                <w:szCs w:val="20"/>
              </w:rPr>
            </w:pPr>
            <w:r w:rsidRPr="00361DA2">
              <w:rPr>
                <w:sz w:val="20"/>
                <w:szCs w:val="20"/>
              </w:rPr>
              <w:t>Livrée des forêts</w:t>
            </w:r>
          </w:p>
        </w:tc>
        <w:tc>
          <w:tcPr>
            <w:tcW w:w="2731" w:type="dxa"/>
            <w:tcBorders>
              <w:top w:val="single" w:sz="4" w:space="0" w:color="000000"/>
              <w:left w:val="nil"/>
              <w:bottom w:val="double" w:sz="4" w:space="0" w:color="auto"/>
              <w:right w:val="nil"/>
            </w:tcBorders>
            <w:shd w:val="clear" w:color="auto" w:fill="auto"/>
          </w:tcPr>
          <w:p w:rsidR="00CE5299" w:rsidRPr="001F050C" w:rsidRDefault="00CE5299" w:rsidP="00CE5299">
            <w:pPr>
              <w:numPr>
                <w:ilvl w:val="0"/>
                <w:numId w:val="10"/>
              </w:numPr>
              <w:spacing w:before="60" w:line="276" w:lineRule="auto"/>
              <w:ind w:left="448" w:right="-108" w:hanging="142"/>
              <w:jc w:val="both"/>
              <w:rPr>
                <w:sz w:val="18"/>
                <w:szCs w:val="18"/>
              </w:rPr>
            </w:pPr>
            <w:r w:rsidRPr="001F050C">
              <w:rPr>
                <w:sz w:val="18"/>
                <w:szCs w:val="18"/>
              </w:rPr>
              <w:t>la mortalité s’observe surtout chez les arbres affaiblis ; surtout le peuplier faux-tremble</w:t>
            </w:r>
          </w:p>
        </w:tc>
        <w:tc>
          <w:tcPr>
            <w:tcW w:w="2552" w:type="dxa"/>
            <w:gridSpan w:val="2"/>
            <w:tcBorders>
              <w:top w:val="single" w:sz="4" w:space="0" w:color="000000"/>
              <w:left w:val="nil"/>
              <w:bottom w:val="double" w:sz="4" w:space="0" w:color="auto"/>
              <w:right w:val="nil"/>
            </w:tcBorders>
          </w:tcPr>
          <w:p w:rsidR="00CE5299" w:rsidRPr="001F050C" w:rsidRDefault="00CE5299" w:rsidP="00CE5299">
            <w:pPr>
              <w:pStyle w:val="Paragraphedeliste"/>
              <w:numPr>
                <w:ilvl w:val="0"/>
                <w:numId w:val="10"/>
              </w:numPr>
              <w:spacing w:before="60"/>
              <w:ind w:left="177" w:right="318" w:hanging="177"/>
              <w:rPr>
                <w:rFonts w:eastAsia="Times New Roman"/>
                <w:sz w:val="18"/>
                <w:szCs w:val="18"/>
              </w:rPr>
            </w:pPr>
            <w:r w:rsidRPr="001F050C">
              <w:rPr>
                <w:sz w:val="18"/>
                <w:szCs w:val="18"/>
              </w:rPr>
              <w:t>Malgré que certains arbres soient sévèrement atteints, ils résistent assez bien. Diminution de la croissance diamétrale</w:t>
            </w:r>
          </w:p>
        </w:tc>
      </w:tr>
      <w:tr w:rsidR="00CE5299" w:rsidRPr="00361DA2" w:rsidTr="00F77507">
        <w:tc>
          <w:tcPr>
            <w:tcW w:w="1475" w:type="dxa"/>
            <w:tcBorders>
              <w:top w:val="double" w:sz="4" w:space="0" w:color="auto"/>
              <w:right w:val="nil"/>
            </w:tcBorders>
            <w:shd w:val="clear" w:color="auto" w:fill="auto"/>
          </w:tcPr>
          <w:p w:rsidR="00CE5299" w:rsidRPr="00361DA2" w:rsidRDefault="00CE5299" w:rsidP="00CE5299">
            <w:pPr>
              <w:spacing w:before="60"/>
              <w:jc w:val="both"/>
              <w:rPr>
                <w:sz w:val="20"/>
                <w:szCs w:val="20"/>
              </w:rPr>
            </w:pPr>
          </w:p>
        </w:tc>
        <w:tc>
          <w:tcPr>
            <w:tcW w:w="2740" w:type="dxa"/>
            <w:gridSpan w:val="2"/>
            <w:tcBorders>
              <w:top w:val="double" w:sz="4" w:space="0" w:color="auto"/>
              <w:left w:val="nil"/>
              <w:bottom w:val="single" w:sz="4" w:space="0" w:color="000000"/>
              <w:right w:val="nil"/>
            </w:tcBorders>
            <w:shd w:val="clear" w:color="auto" w:fill="auto"/>
          </w:tcPr>
          <w:p w:rsidR="00CE5299" w:rsidRPr="00361DA2" w:rsidRDefault="00CE5299" w:rsidP="00CE5299">
            <w:pPr>
              <w:spacing w:before="60"/>
              <w:jc w:val="both"/>
              <w:rPr>
                <w:sz w:val="20"/>
                <w:szCs w:val="20"/>
              </w:rPr>
            </w:pPr>
          </w:p>
        </w:tc>
        <w:tc>
          <w:tcPr>
            <w:tcW w:w="2731" w:type="dxa"/>
            <w:tcBorders>
              <w:top w:val="double" w:sz="4" w:space="0" w:color="auto"/>
              <w:left w:val="nil"/>
              <w:bottom w:val="single" w:sz="4" w:space="0" w:color="000000"/>
              <w:right w:val="nil"/>
            </w:tcBorders>
            <w:shd w:val="clear" w:color="auto" w:fill="auto"/>
          </w:tcPr>
          <w:p w:rsidR="00CE5299" w:rsidRPr="00361DA2" w:rsidRDefault="00CE5299" w:rsidP="00CE5299">
            <w:pPr>
              <w:spacing w:before="60"/>
              <w:jc w:val="both"/>
              <w:rPr>
                <w:sz w:val="20"/>
                <w:szCs w:val="20"/>
              </w:rPr>
            </w:pPr>
          </w:p>
        </w:tc>
        <w:tc>
          <w:tcPr>
            <w:tcW w:w="2552" w:type="dxa"/>
            <w:gridSpan w:val="2"/>
            <w:tcBorders>
              <w:top w:val="double" w:sz="4" w:space="0" w:color="auto"/>
              <w:left w:val="nil"/>
              <w:bottom w:val="single" w:sz="4" w:space="0" w:color="000000"/>
              <w:right w:val="nil"/>
            </w:tcBorders>
          </w:tcPr>
          <w:p w:rsidR="00CE5299" w:rsidRPr="00361DA2" w:rsidRDefault="00CE5299" w:rsidP="00CE5299">
            <w:pPr>
              <w:spacing w:before="60"/>
              <w:ind w:right="318"/>
              <w:jc w:val="both"/>
              <w:rPr>
                <w:sz w:val="20"/>
                <w:szCs w:val="20"/>
              </w:rPr>
            </w:pPr>
          </w:p>
        </w:tc>
      </w:tr>
      <w:tr w:rsidR="00CE5299" w:rsidRPr="00361DA2" w:rsidTr="00F77507">
        <w:tc>
          <w:tcPr>
            <w:tcW w:w="1475" w:type="dxa"/>
            <w:vMerge w:val="restart"/>
            <w:tcBorders>
              <w:top w:val="double" w:sz="4" w:space="0" w:color="auto"/>
              <w:right w:val="nil"/>
            </w:tcBorders>
            <w:shd w:val="clear" w:color="auto" w:fill="auto"/>
          </w:tcPr>
          <w:p w:rsidR="00CE5299" w:rsidRPr="00361DA2" w:rsidRDefault="00CE5299" w:rsidP="00CE5299">
            <w:pPr>
              <w:spacing w:before="60"/>
              <w:jc w:val="both"/>
              <w:rPr>
                <w:sz w:val="20"/>
                <w:szCs w:val="20"/>
              </w:rPr>
            </w:pPr>
            <w:r w:rsidRPr="00361DA2">
              <w:rPr>
                <w:sz w:val="20"/>
                <w:szCs w:val="20"/>
              </w:rPr>
              <w:t>Fréquence des perturbations</w:t>
            </w:r>
          </w:p>
        </w:tc>
        <w:tc>
          <w:tcPr>
            <w:tcW w:w="2740" w:type="dxa"/>
            <w:gridSpan w:val="2"/>
            <w:tcBorders>
              <w:top w:val="double" w:sz="4" w:space="0" w:color="auto"/>
              <w:left w:val="nil"/>
              <w:bottom w:val="single" w:sz="4" w:space="0" w:color="000000"/>
              <w:right w:val="nil"/>
            </w:tcBorders>
            <w:shd w:val="clear" w:color="auto" w:fill="auto"/>
          </w:tcPr>
          <w:p w:rsidR="00CE5299" w:rsidRPr="00361DA2" w:rsidRDefault="00CE5299" w:rsidP="00CE5299">
            <w:pPr>
              <w:spacing w:before="60"/>
              <w:jc w:val="both"/>
              <w:rPr>
                <w:sz w:val="20"/>
                <w:szCs w:val="20"/>
              </w:rPr>
            </w:pPr>
            <w:r w:rsidRPr="00361DA2">
              <w:rPr>
                <w:sz w:val="20"/>
                <w:szCs w:val="20"/>
              </w:rPr>
              <w:t>Grands feux</w:t>
            </w:r>
          </w:p>
        </w:tc>
        <w:tc>
          <w:tcPr>
            <w:tcW w:w="2731" w:type="dxa"/>
            <w:tcBorders>
              <w:top w:val="double" w:sz="4" w:space="0" w:color="auto"/>
              <w:left w:val="nil"/>
              <w:bottom w:val="single" w:sz="4" w:space="0" w:color="000000"/>
              <w:right w:val="nil"/>
            </w:tcBorders>
            <w:shd w:val="clear" w:color="auto" w:fill="auto"/>
          </w:tcPr>
          <w:p w:rsidR="00CE5299" w:rsidRPr="00361DA2" w:rsidRDefault="00CE5299" w:rsidP="00CE5299">
            <w:pPr>
              <w:spacing w:before="60"/>
              <w:jc w:val="both"/>
              <w:rPr>
                <w:sz w:val="20"/>
                <w:szCs w:val="20"/>
              </w:rPr>
            </w:pPr>
            <w:r w:rsidRPr="00361DA2">
              <w:rPr>
                <w:sz w:val="20"/>
                <w:szCs w:val="20"/>
              </w:rPr>
              <w:t>1000 ans</w:t>
            </w:r>
          </w:p>
        </w:tc>
        <w:tc>
          <w:tcPr>
            <w:tcW w:w="2552" w:type="dxa"/>
            <w:gridSpan w:val="2"/>
            <w:tcBorders>
              <w:top w:val="double" w:sz="4" w:space="0" w:color="auto"/>
              <w:left w:val="nil"/>
              <w:bottom w:val="single" w:sz="4" w:space="0" w:color="000000"/>
              <w:right w:val="nil"/>
            </w:tcBorders>
          </w:tcPr>
          <w:p w:rsidR="00CE5299" w:rsidRPr="00361DA2" w:rsidRDefault="00CE5299" w:rsidP="00CE5299">
            <w:pPr>
              <w:spacing w:before="60"/>
              <w:ind w:right="318"/>
              <w:jc w:val="both"/>
              <w:rPr>
                <w:sz w:val="20"/>
                <w:szCs w:val="20"/>
              </w:rPr>
            </w:pPr>
            <w:r>
              <w:rPr>
                <w:sz w:val="20"/>
                <w:szCs w:val="20"/>
              </w:rPr>
              <w:t>1000 ans</w:t>
            </w:r>
          </w:p>
        </w:tc>
      </w:tr>
      <w:tr w:rsidR="00CE5299" w:rsidRPr="00361DA2" w:rsidTr="00F77507">
        <w:tc>
          <w:tcPr>
            <w:tcW w:w="1475" w:type="dxa"/>
            <w:vMerge/>
            <w:tcBorders>
              <w:right w:val="nil"/>
            </w:tcBorders>
            <w:shd w:val="clear" w:color="auto" w:fill="auto"/>
          </w:tcPr>
          <w:p w:rsidR="00CE5299" w:rsidRPr="00361DA2" w:rsidRDefault="00CE5299" w:rsidP="00CE5299">
            <w:pPr>
              <w:spacing w:before="60"/>
              <w:jc w:val="both"/>
              <w:rPr>
                <w:sz w:val="20"/>
                <w:szCs w:val="20"/>
              </w:rPr>
            </w:pPr>
          </w:p>
        </w:tc>
        <w:tc>
          <w:tcPr>
            <w:tcW w:w="2740" w:type="dxa"/>
            <w:gridSpan w:val="2"/>
            <w:tcBorders>
              <w:top w:val="single" w:sz="4" w:space="0" w:color="000000"/>
              <w:left w:val="nil"/>
              <w:bottom w:val="single" w:sz="4" w:space="0" w:color="000000"/>
              <w:right w:val="nil"/>
            </w:tcBorders>
            <w:shd w:val="clear" w:color="auto" w:fill="auto"/>
          </w:tcPr>
          <w:p w:rsidR="00CE5299" w:rsidRPr="00361DA2" w:rsidRDefault="00CE5299" w:rsidP="00CE5299">
            <w:pPr>
              <w:spacing w:before="60"/>
              <w:jc w:val="both"/>
              <w:rPr>
                <w:sz w:val="20"/>
                <w:szCs w:val="20"/>
              </w:rPr>
            </w:pPr>
            <w:r w:rsidRPr="00361DA2">
              <w:rPr>
                <w:sz w:val="20"/>
                <w:szCs w:val="20"/>
              </w:rPr>
              <w:t>TBE</w:t>
            </w:r>
          </w:p>
        </w:tc>
        <w:tc>
          <w:tcPr>
            <w:tcW w:w="2731" w:type="dxa"/>
            <w:tcBorders>
              <w:top w:val="single" w:sz="4" w:space="0" w:color="000000"/>
              <w:left w:val="nil"/>
              <w:bottom w:val="single" w:sz="4" w:space="0" w:color="000000"/>
              <w:right w:val="nil"/>
            </w:tcBorders>
            <w:shd w:val="clear" w:color="auto" w:fill="auto"/>
          </w:tcPr>
          <w:p w:rsidR="00CE5299" w:rsidRPr="00361DA2" w:rsidRDefault="00CE5299" w:rsidP="00CE5299">
            <w:pPr>
              <w:spacing w:before="60"/>
              <w:jc w:val="both"/>
              <w:rPr>
                <w:sz w:val="20"/>
                <w:szCs w:val="20"/>
              </w:rPr>
            </w:pPr>
            <w:r w:rsidRPr="00361DA2">
              <w:rPr>
                <w:sz w:val="20"/>
                <w:szCs w:val="20"/>
              </w:rPr>
              <w:t>25-3</w:t>
            </w:r>
            <w:r>
              <w:rPr>
                <w:sz w:val="20"/>
                <w:szCs w:val="20"/>
              </w:rPr>
              <w:t>8</w:t>
            </w:r>
            <w:r w:rsidRPr="00361DA2">
              <w:rPr>
                <w:sz w:val="20"/>
                <w:szCs w:val="20"/>
              </w:rPr>
              <w:t xml:space="preserve"> ans</w:t>
            </w:r>
          </w:p>
        </w:tc>
        <w:tc>
          <w:tcPr>
            <w:tcW w:w="2552" w:type="dxa"/>
            <w:gridSpan w:val="2"/>
            <w:tcBorders>
              <w:top w:val="single" w:sz="4" w:space="0" w:color="000000"/>
              <w:left w:val="nil"/>
              <w:bottom w:val="single" w:sz="4" w:space="0" w:color="000000"/>
              <w:right w:val="nil"/>
            </w:tcBorders>
          </w:tcPr>
          <w:p w:rsidR="00CE5299" w:rsidRPr="00361DA2" w:rsidRDefault="00CE5299" w:rsidP="00CE5299">
            <w:pPr>
              <w:spacing w:before="60"/>
              <w:ind w:right="318"/>
              <w:jc w:val="both"/>
              <w:rPr>
                <w:sz w:val="20"/>
                <w:szCs w:val="20"/>
              </w:rPr>
            </w:pPr>
            <w:r>
              <w:rPr>
                <w:sz w:val="20"/>
                <w:szCs w:val="20"/>
              </w:rPr>
              <w:t>25 à 70 ans selon la proportion des essences</w:t>
            </w:r>
          </w:p>
        </w:tc>
      </w:tr>
      <w:tr w:rsidR="00CE5299" w:rsidRPr="00361DA2" w:rsidTr="00F77507">
        <w:tc>
          <w:tcPr>
            <w:tcW w:w="1475" w:type="dxa"/>
            <w:vMerge/>
            <w:tcBorders>
              <w:right w:val="nil"/>
            </w:tcBorders>
            <w:shd w:val="clear" w:color="auto" w:fill="auto"/>
          </w:tcPr>
          <w:p w:rsidR="00CE5299" w:rsidRPr="00361DA2" w:rsidRDefault="00CE5299" w:rsidP="00CE5299">
            <w:pPr>
              <w:spacing w:before="60"/>
              <w:jc w:val="both"/>
              <w:rPr>
                <w:sz w:val="20"/>
                <w:szCs w:val="20"/>
              </w:rPr>
            </w:pPr>
          </w:p>
        </w:tc>
        <w:tc>
          <w:tcPr>
            <w:tcW w:w="2740" w:type="dxa"/>
            <w:gridSpan w:val="2"/>
            <w:tcBorders>
              <w:top w:val="single" w:sz="4" w:space="0" w:color="000000"/>
              <w:left w:val="nil"/>
              <w:bottom w:val="single" w:sz="4" w:space="0" w:color="000000"/>
              <w:right w:val="nil"/>
            </w:tcBorders>
            <w:shd w:val="clear" w:color="auto" w:fill="auto"/>
          </w:tcPr>
          <w:p w:rsidR="00CE5299" w:rsidRPr="00361DA2" w:rsidRDefault="00CE5299" w:rsidP="00CE5299">
            <w:pPr>
              <w:spacing w:before="60"/>
              <w:jc w:val="both"/>
              <w:rPr>
                <w:sz w:val="20"/>
                <w:szCs w:val="20"/>
              </w:rPr>
            </w:pPr>
            <w:r w:rsidRPr="00361DA2">
              <w:rPr>
                <w:sz w:val="20"/>
                <w:szCs w:val="20"/>
              </w:rPr>
              <w:t>Livrée des forêts</w:t>
            </w:r>
          </w:p>
        </w:tc>
        <w:tc>
          <w:tcPr>
            <w:tcW w:w="2731" w:type="dxa"/>
            <w:tcBorders>
              <w:top w:val="single" w:sz="4" w:space="0" w:color="000000"/>
              <w:left w:val="nil"/>
              <w:bottom w:val="single" w:sz="4" w:space="0" w:color="000000"/>
              <w:right w:val="nil"/>
            </w:tcBorders>
            <w:shd w:val="clear" w:color="auto" w:fill="auto"/>
          </w:tcPr>
          <w:p w:rsidR="00CE5299" w:rsidRPr="00361DA2" w:rsidRDefault="00CE5299" w:rsidP="00CE5299">
            <w:pPr>
              <w:spacing w:before="60"/>
              <w:jc w:val="both"/>
              <w:rPr>
                <w:sz w:val="20"/>
                <w:szCs w:val="20"/>
              </w:rPr>
            </w:pPr>
            <w:r w:rsidRPr="00361DA2">
              <w:rPr>
                <w:sz w:val="20"/>
                <w:szCs w:val="20"/>
              </w:rPr>
              <w:t>15-20 ans</w:t>
            </w:r>
          </w:p>
        </w:tc>
        <w:tc>
          <w:tcPr>
            <w:tcW w:w="2552" w:type="dxa"/>
            <w:gridSpan w:val="2"/>
            <w:tcBorders>
              <w:top w:val="single" w:sz="4" w:space="0" w:color="000000"/>
              <w:left w:val="nil"/>
              <w:bottom w:val="single" w:sz="4" w:space="0" w:color="000000"/>
              <w:right w:val="nil"/>
            </w:tcBorders>
          </w:tcPr>
          <w:p w:rsidR="00CE5299" w:rsidRPr="00361DA2" w:rsidRDefault="00CE5299" w:rsidP="00CE5299">
            <w:pPr>
              <w:spacing w:before="60"/>
              <w:ind w:right="318"/>
              <w:jc w:val="both"/>
              <w:rPr>
                <w:sz w:val="20"/>
                <w:szCs w:val="20"/>
              </w:rPr>
            </w:pPr>
            <w:r>
              <w:rPr>
                <w:sz w:val="20"/>
                <w:szCs w:val="20"/>
              </w:rPr>
              <w:t>0-5ans</w:t>
            </w:r>
          </w:p>
        </w:tc>
      </w:tr>
      <w:tr w:rsidR="00CE5299" w:rsidRPr="00361DA2" w:rsidTr="00F77507">
        <w:tc>
          <w:tcPr>
            <w:tcW w:w="1475" w:type="dxa"/>
            <w:vMerge/>
            <w:tcBorders>
              <w:right w:val="nil"/>
            </w:tcBorders>
            <w:shd w:val="clear" w:color="auto" w:fill="auto"/>
          </w:tcPr>
          <w:p w:rsidR="00CE5299" w:rsidRPr="00361DA2" w:rsidRDefault="00CE5299" w:rsidP="00CE5299">
            <w:pPr>
              <w:spacing w:before="60"/>
              <w:jc w:val="both"/>
              <w:rPr>
                <w:sz w:val="20"/>
                <w:szCs w:val="20"/>
              </w:rPr>
            </w:pPr>
          </w:p>
        </w:tc>
        <w:tc>
          <w:tcPr>
            <w:tcW w:w="2740" w:type="dxa"/>
            <w:gridSpan w:val="2"/>
            <w:tcBorders>
              <w:top w:val="single" w:sz="4" w:space="0" w:color="000000"/>
              <w:left w:val="nil"/>
              <w:bottom w:val="double" w:sz="4" w:space="0" w:color="auto"/>
              <w:right w:val="nil"/>
            </w:tcBorders>
            <w:shd w:val="clear" w:color="auto" w:fill="auto"/>
          </w:tcPr>
          <w:p w:rsidR="00CE5299" w:rsidRPr="00361DA2" w:rsidRDefault="00CE5299" w:rsidP="00CE5299">
            <w:pPr>
              <w:spacing w:before="60"/>
              <w:jc w:val="both"/>
              <w:rPr>
                <w:sz w:val="20"/>
                <w:szCs w:val="20"/>
              </w:rPr>
            </w:pPr>
            <w:r w:rsidRPr="00361DA2">
              <w:rPr>
                <w:sz w:val="20"/>
                <w:szCs w:val="20"/>
              </w:rPr>
              <w:t>Chablis</w:t>
            </w:r>
          </w:p>
        </w:tc>
        <w:tc>
          <w:tcPr>
            <w:tcW w:w="2731" w:type="dxa"/>
            <w:tcBorders>
              <w:top w:val="single" w:sz="4" w:space="0" w:color="000000"/>
              <w:left w:val="nil"/>
              <w:bottom w:val="double" w:sz="4" w:space="0" w:color="auto"/>
              <w:right w:val="nil"/>
            </w:tcBorders>
            <w:shd w:val="clear" w:color="auto" w:fill="auto"/>
          </w:tcPr>
          <w:p w:rsidR="00CE5299" w:rsidRPr="00361DA2" w:rsidRDefault="00CE5299" w:rsidP="00CE5299">
            <w:pPr>
              <w:spacing w:before="60"/>
              <w:jc w:val="both"/>
              <w:rPr>
                <w:sz w:val="20"/>
                <w:szCs w:val="20"/>
              </w:rPr>
            </w:pPr>
            <w:r w:rsidRPr="00361DA2">
              <w:rPr>
                <w:sz w:val="20"/>
                <w:szCs w:val="20"/>
              </w:rPr>
              <w:t>Annuellement sur 0,14% de la superficie du territoire</w:t>
            </w:r>
          </w:p>
        </w:tc>
        <w:tc>
          <w:tcPr>
            <w:tcW w:w="2552" w:type="dxa"/>
            <w:gridSpan w:val="2"/>
            <w:tcBorders>
              <w:top w:val="single" w:sz="4" w:space="0" w:color="000000"/>
              <w:left w:val="nil"/>
              <w:bottom w:val="double" w:sz="4" w:space="0" w:color="auto"/>
              <w:right w:val="nil"/>
            </w:tcBorders>
          </w:tcPr>
          <w:p w:rsidR="00CE5299" w:rsidRPr="00361DA2" w:rsidRDefault="00CE5299" w:rsidP="00CE5299">
            <w:pPr>
              <w:spacing w:before="60"/>
              <w:ind w:right="318"/>
              <w:jc w:val="both"/>
              <w:rPr>
                <w:sz w:val="20"/>
                <w:szCs w:val="20"/>
              </w:rPr>
            </w:pPr>
            <w:r>
              <w:rPr>
                <w:sz w:val="20"/>
                <w:szCs w:val="20"/>
              </w:rPr>
              <w:t>780 ans</w:t>
            </w:r>
          </w:p>
        </w:tc>
      </w:tr>
      <w:tr w:rsidR="00CE5299" w:rsidRPr="00361DA2" w:rsidTr="00F77507">
        <w:tc>
          <w:tcPr>
            <w:tcW w:w="1475" w:type="dxa"/>
            <w:vMerge/>
            <w:tcBorders>
              <w:bottom w:val="double" w:sz="4" w:space="0" w:color="auto"/>
              <w:right w:val="nil"/>
            </w:tcBorders>
            <w:shd w:val="clear" w:color="auto" w:fill="auto"/>
          </w:tcPr>
          <w:p w:rsidR="00CE5299" w:rsidRPr="00361DA2" w:rsidRDefault="00CE5299" w:rsidP="00CE5299">
            <w:pPr>
              <w:spacing w:before="60"/>
              <w:jc w:val="both"/>
              <w:rPr>
                <w:sz w:val="20"/>
                <w:szCs w:val="20"/>
              </w:rPr>
            </w:pPr>
          </w:p>
        </w:tc>
        <w:tc>
          <w:tcPr>
            <w:tcW w:w="2740" w:type="dxa"/>
            <w:gridSpan w:val="2"/>
            <w:tcBorders>
              <w:top w:val="single" w:sz="4" w:space="0" w:color="000000"/>
              <w:left w:val="nil"/>
              <w:bottom w:val="double" w:sz="4" w:space="0" w:color="auto"/>
              <w:right w:val="nil"/>
            </w:tcBorders>
            <w:shd w:val="clear" w:color="auto" w:fill="auto"/>
          </w:tcPr>
          <w:p w:rsidR="00CE5299" w:rsidRPr="00361DA2" w:rsidRDefault="00CE5299" w:rsidP="00CE5299">
            <w:pPr>
              <w:spacing w:before="60"/>
              <w:jc w:val="both"/>
              <w:rPr>
                <w:sz w:val="20"/>
                <w:szCs w:val="20"/>
              </w:rPr>
            </w:pPr>
          </w:p>
        </w:tc>
        <w:tc>
          <w:tcPr>
            <w:tcW w:w="2731" w:type="dxa"/>
            <w:tcBorders>
              <w:top w:val="single" w:sz="4" w:space="0" w:color="000000"/>
              <w:left w:val="nil"/>
              <w:bottom w:val="double" w:sz="4" w:space="0" w:color="auto"/>
              <w:right w:val="nil"/>
            </w:tcBorders>
            <w:shd w:val="clear" w:color="auto" w:fill="auto"/>
          </w:tcPr>
          <w:p w:rsidR="00CE5299" w:rsidRPr="00361DA2" w:rsidRDefault="00CE5299" w:rsidP="00CE5299">
            <w:pPr>
              <w:spacing w:before="60"/>
              <w:ind w:left="307"/>
              <w:jc w:val="both"/>
              <w:rPr>
                <w:sz w:val="20"/>
                <w:szCs w:val="20"/>
              </w:rPr>
            </w:pPr>
          </w:p>
        </w:tc>
        <w:tc>
          <w:tcPr>
            <w:tcW w:w="2552" w:type="dxa"/>
            <w:gridSpan w:val="2"/>
            <w:tcBorders>
              <w:top w:val="single" w:sz="4" w:space="0" w:color="000000"/>
              <w:left w:val="nil"/>
              <w:bottom w:val="double" w:sz="4" w:space="0" w:color="auto"/>
              <w:right w:val="nil"/>
            </w:tcBorders>
          </w:tcPr>
          <w:p w:rsidR="00CE5299" w:rsidRPr="00361DA2" w:rsidRDefault="00CE5299" w:rsidP="00CE5299">
            <w:pPr>
              <w:spacing w:before="60"/>
              <w:ind w:left="307" w:right="318"/>
              <w:jc w:val="both"/>
              <w:rPr>
                <w:sz w:val="20"/>
                <w:szCs w:val="20"/>
              </w:rPr>
            </w:pPr>
          </w:p>
        </w:tc>
      </w:tr>
    </w:tbl>
    <w:bookmarkEnd w:id="53"/>
    <w:bookmarkEnd w:id="54"/>
    <w:bookmarkEnd w:id="55"/>
    <w:p w:rsidR="00CE5299" w:rsidRPr="00361DA2" w:rsidRDefault="00CE5299" w:rsidP="00CE5299">
      <w:pPr>
        <w:spacing w:before="120" w:after="120"/>
        <w:jc w:val="both"/>
        <w:rPr>
          <w:lang w:val="fr-CA"/>
        </w:rPr>
      </w:pPr>
      <w:r>
        <w:rPr>
          <w:lang w:val="fr-CA"/>
        </w:rPr>
        <w:t>Ce</w:t>
      </w:r>
      <w:r w:rsidR="006A4F59">
        <w:rPr>
          <w:lang w:val="fr-CA"/>
        </w:rPr>
        <w:t xml:space="preserve">tte section </w:t>
      </w:r>
      <w:r w:rsidRPr="00361DA2">
        <w:rPr>
          <w:lang w:val="fr-CA"/>
        </w:rPr>
        <w:t xml:space="preserve">document un </w:t>
      </w:r>
      <w:r>
        <w:rPr>
          <w:lang w:val="fr-CA"/>
        </w:rPr>
        <w:t>sommaire des principaux éléments qui affectent la dynamique naturelle des peuplements de l’érablière à bouleau jaune (UA 062-51) et la sapinière à bouleau jaune (UA 062-51).  La structure résiduelle des forêts est mieux documentée pour les feux et surtout pour la région boréale étant donné sa plus grande étendue.  La région feuillue est dominée par la mortalité par pied d’arbres qui maintien</w:t>
      </w:r>
      <w:r w:rsidR="00C34D0A">
        <w:rPr>
          <w:lang w:val="fr-CA"/>
        </w:rPr>
        <w:t xml:space="preserve">t </w:t>
      </w:r>
      <w:r>
        <w:rPr>
          <w:lang w:val="fr-CA"/>
        </w:rPr>
        <w:t>un couvert en permanence du couvert forestier.  Étant donné le faible impact des grandes perturbations dans la région des UA 062-51 et 062-52, il est normal d’avoir peu de données sur les structures résiduelles.  Malgré ce fait, la littérature scientifique nous permet quand même de dresser les grandes lignes des structures résiduelles suivant chacun des types de perturbations sur les deux territoires étudiés.</w:t>
      </w:r>
      <w:r w:rsidRPr="00361DA2">
        <w:rPr>
          <w:lang w:val="fr-CA"/>
        </w:rPr>
        <w:t xml:space="preserve"> </w:t>
      </w:r>
    </w:p>
    <w:p w:rsidR="00CE5299" w:rsidRDefault="00CE5299" w:rsidP="00CE5299">
      <w:pPr>
        <w:rPr>
          <w:rFonts w:ascii="Arial" w:hAnsi="Arial" w:cs="Arial"/>
          <w:b/>
          <w:bCs/>
          <w:sz w:val="28"/>
          <w:szCs w:val="28"/>
          <w:lang w:val="fr-CA"/>
        </w:rPr>
      </w:pPr>
      <w:r>
        <w:rPr>
          <w:rFonts w:ascii="Arial" w:hAnsi="Arial" w:cs="Arial"/>
          <w:lang w:val="fr-CA"/>
        </w:rPr>
        <w:br w:type="page"/>
      </w:r>
    </w:p>
    <w:p w:rsidR="00F77507" w:rsidRPr="001B281F" w:rsidRDefault="005A2AA0" w:rsidP="005A2AA0">
      <w:pPr>
        <w:pStyle w:val="Titre1"/>
      </w:pPr>
      <w:bookmarkStart w:id="62" w:name="_Toc377988552"/>
      <w:bookmarkStart w:id="63" w:name="_Toc484513473"/>
      <w:bookmarkStart w:id="64" w:name="_Toc241983858"/>
      <w:r>
        <w:t xml:space="preserve">4.0 </w:t>
      </w:r>
      <w:r w:rsidR="00F77507">
        <w:t>Diversité, structure, c</w:t>
      </w:r>
      <w:r w:rsidR="00F77507" w:rsidRPr="001B281F">
        <w:t>onservation du bois mort</w:t>
      </w:r>
      <w:r w:rsidR="00F77507">
        <w:t xml:space="preserve"> et habitats fauniques</w:t>
      </w:r>
      <w:bookmarkEnd w:id="62"/>
      <w:bookmarkEnd w:id="63"/>
    </w:p>
    <w:p w:rsidR="008532F2" w:rsidRPr="004D5B64" w:rsidRDefault="008532F2" w:rsidP="004D5B64">
      <w:pPr>
        <w:rPr>
          <w:i/>
          <w:lang w:val="fr-CA"/>
        </w:rPr>
      </w:pPr>
      <w:bookmarkStart w:id="65" w:name="_Toc377988547"/>
      <w:r w:rsidRPr="004D5B64">
        <w:rPr>
          <w:i/>
          <w:lang w:val="fr-CA"/>
        </w:rPr>
        <w:t>Cette section s’applique autant à l’UA 062-51 qu’à l’UA 062-52.</w:t>
      </w:r>
    </w:p>
    <w:p w:rsidR="00F77507" w:rsidRPr="00772CA6" w:rsidRDefault="005A2AA0" w:rsidP="005A2AA0">
      <w:pPr>
        <w:pStyle w:val="Titre2"/>
        <w:rPr>
          <w:lang w:val="fr-CA"/>
        </w:rPr>
      </w:pPr>
      <w:bookmarkStart w:id="66" w:name="_Toc484513474"/>
      <w:r>
        <w:rPr>
          <w:lang w:val="fr-CA"/>
        </w:rPr>
        <w:t xml:space="preserve">4.1 </w:t>
      </w:r>
      <w:r w:rsidR="00F77507" w:rsidRPr="00772CA6">
        <w:rPr>
          <w:lang w:val="fr-CA"/>
        </w:rPr>
        <w:t xml:space="preserve">Diversité </w:t>
      </w:r>
      <w:r w:rsidR="00F77507">
        <w:rPr>
          <w:lang w:val="fr-CA"/>
        </w:rPr>
        <w:t>structurale</w:t>
      </w:r>
      <w:bookmarkEnd w:id="65"/>
      <w:bookmarkEnd w:id="66"/>
    </w:p>
    <w:p w:rsidR="008532F2" w:rsidRDefault="00F77507" w:rsidP="00F77507">
      <w:pPr>
        <w:jc w:val="both"/>
      </w:pPr>
      <w:r>
        <w:t xml:space="preserve">Le MFFP produit un diagnostic de structure systématiquement avec les données d’inventaire. Les objectifs </w:t>
      </w:r>
      <w:r w:rsidR="008532F2">
        <w:t>en termes de</w:t>
      </w:r>
      <w:r>
        <w:t xml:space="preserve"> surface terrière résiduelle</w:t>
      </w:r>
      <w:r w:rsidR="005A2AA0">
        <w:t xml:space="preserve"> et de structures</w:t>
      </w:r>
      <w:r>
        <w:t xml:space="preserve"> sont établis en fonction des objectifs sylvicoles</w:t>
      </w:r>
      <w:r w:rsidR="008532F2">
        <w:t xml:space="preserve"> établis par le MFFP</w:t>
      </w:r>
      <w:r>
        <w:t xml:space="preserve">. Un objectif précis de surface terrière résiduelle est présenté dans la prescription sylvicole. La surface terrière résiduelle pour les coupes de jardinage est au minimum de 16 m2/ha, et de 14m2 pour les coupes d’assainissement. </w:t>
      </w:r>
    </w:p>
    <w:p w:rsidR="008532F2" w:rsidRDefault="008532F2" w:rsidP="00F77507">
      <w:pPr>
        <w:jc w:val="both"/>
      </w:pPr>
    </w:p>
    <w:p w:rsidR="008532F2" w:rsidRDefault="008532F2" w:rsidP="00F77507">
      <w:pPr>
        <w:jc w:val="both"/>
      </w:pPr>
      <w:r>
        <w:t>Depuis les dernières années</w:t>
      </w:r>
      <w:r w:rsidR="000E0DC5">
        <w:t xml:space="preserve">, </w:t>
      </w:r>
      <w:r>
        <w:t>des nouveaux types de traitements ont été introduit</w:t>
      </w:r>
      <w:r w:rsidR="000E0DC5">
        <w:t xml:space="preserve">s </w:t>
      </w:r>
      <w:r>
        <w:t xml:space="preserve">spécifiquement pour contrecarrer l’homogénéisation des structures </w:t>
      </w:r>
      <w:r w:rsidR="005A2AA0">
        <w:t>v</w:t>
      </w:r>
      <w:r>
        <w:t>erticales</w:t>
      </w:r>
      <w:r w:rsidR="005A2AA0">
        <w:t xml:space="preserve"> et horizontales</w:t>
      </w:r>
      <w:r>
        <w:t xml:space="preserve">. En effet, les différentes variantes des coupes progressives irrégulières (CPI) permettent de conserver l’irrégularité (et donc la diversité) des structures identifiées lors de la prescription. Elle consiste à récolter le peuplement avec une série de coupes partielles successives dans le but d’établir, sous le couvert protecteur d’arbres semenciers, une nouvelle cohorte de régénération après chaque coupe.  La CPI génère des peuplements ayant une structure d’âge irrégulière, car ceux-ci comprennent au moins deux classes d’âge (Raymond et </w:t>
      </w:r>
      <w:r w:rsidRPr="008532F2">
        <w:rPr>
          <w:i/>
        </w:rPr>
        <w:t>al.</w:t>
      </w:r>
      <w:r>
        <w:t xml:space="preserve">2010). Le </w:t>
      </w:r>
      <w:r>
        <w:fldChar w:fldCharType="begin"/>
      </w:r>
      <w:r>
        <w:instrText xml:space="preserve"> REF _Ref483813647 \h </w:instrText>
      </w:r>
      <w:r>
        <w:fldChar w:fldCharType="separate"/>
      </w:r>
      <w:r w:rsidR="00241D60">
        <w:t xml:space="preserve">Tableau </w:t>
      </w:r>
      <w:r w:rsidR="00241D60">
        <w:rPr>
          <w:noProof/>
        </w:rPr>
        <w:t>5</w:t>
      </w:r>
      <w:r>
        <w:fldChar w:fldCharType="end"/>
      </w:r>
      <w:r>
        <w:t xml:space="preserve"> permet de comprendre les principes et objectifs des différentes variantes de la CPI en lien avec les structures horizontales et verticales.</w:t>
      </w:r>
    </w:p>
    <w:p w:rsidR="008532F2" w:rsidRDefault="008532F2" w:rsidP="00F77507">
      <w:pPr>
        <w:jc w:val="both"/>
      </w:pPr>
    </w:p>
    <w:p w:rsidR="008532F2" w:rsidRDefault="008532F2" w:rsidP="008532F2">
      <w:pPr>
        <w:pStyle w:val="Lgende"/>
      </w:pPr>
      <w:bookmarkStart w:id="67" w:name="_Ref483813647"/>
      <w:bookmarkStart w:id="68" w:name="_Toc484513485"/>
      <w:r>
        <w:t xml:space="preserve">Tableau </w:t>
      </w:r>
      <w:r w:rsidR="00FD33B5">
        <w:fldChar w:fldCharType="begin"/>
      </w:r>
      <w:r w:rsidR="00FD33B5">
        <w:instrText xml:space="preserve"> SEQ Tableau \* ARABIC </w:instrText>
      </w:r>
      <w:r w:rsidR="00FD33B5">
        <w:fldChar w:fldCharType="separate"/>
      </w:r>
      <w:r w:rsidR="00241D60">
        <w:rPr>
          <w:noProof/>
        </w:rPr>
        <w:t>5</w:t>
      </w:r>
      <w:r w:rsidR="00FD33B5">
        <w:rPr>
          <w:noProof/>
        </w:rPr>
        <w:fldChar w:fldCharType="end"/>
      </w:r>
      <w:bookmarkEnd w:id="67"/>
      <w:r>
        <w:t xml:space="preserve"> Objectifs des différentes variantes de la CPI</w:t>
      </w:r>
      <w:bookmarkEnd w:id="68"/>
    </w:p>
    <w:p w:rsidR="008532F2" w:rsidRDefault="00DB78FB" w:rsidP="00F77507">
      <w:pPr>
        <w:jc w:val="both"/>
      </w:pPr>
      <w:r>
        <w:rPr>
          <w:noProof/>
          <w:lang w:val="fr-CA" w:eastAsia="fr-CA"/>
        </w:rPr>
        <w:drawing>
          <wp:inline distT="0" distB="0" distL="0" distR="0">
            <wp:extent cx="5966460" cy="3009900"/>
            <wp:effectExtent l="0" t="0" r="0" b="0"/>
            <wp:docPr id="4" name="Image 4" descr="Image1_CPI_vari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1_CPI_varia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6460" cy="3009900"/>
                    </a:xfrm>
                    <a:prstGeom prst="rect">
                      <a:avLst/>
                    </a:prstGeom>
                    <a:noFill/>
                    <a:ln>
                      <a:noFill/>
                    </a:ln>
                  </pic:spPr>
                </pic:pic>
              </a:graphicData>
            </a:graphic>
          </wp:inline>
        </w:drawing>
      </w:r>
    </w:p>
    <w:p w:rsidR="008532F2" w:rsidRDefault="008532F2" w:rsidP="00F77507">
      <w:pPr>
        <w:jc w:val="both"/>
      </w:pPr>
    </w:p>
    <w:p w:rsidR="00D7413E" w:rsidRDefault="008532F2" w:rsidP="00F77507">
      <w:pPr>
        <w:jc w:val="both"/>
      </w:pPr>
      <w:r>
        <w:t>Peu importe le traitement de coupe partielle réalisé, u</w:t>
      </w:r>
      <w:r w:rsidR="00F77507">
        <w:t xml:space="preserve">n suivi de la surface terrière résiduelle est fait après le </w:t>
      </w:r>
      <w:r>
        <w:t xml:space="preserve">martelage (s’il y a lieu) </w:t>
      </w:r>
      <w:r w:rsidR="00F77507">
        <w:t>et après la coupe.</w:t>
      </w:r>
      <w:r w:rsidR="00D7413E">
        <w:t xml:space="preserve">  </w:t>
      </w:r>
    </w:p>
    <w:p w:rsidR="00D7413E" w:rsidRDefault="00D7413E" w:rsidP="00F77507">
      <w:pPr>
        <w:jc w:val="both"/>
      </w:pPr>
    </w:p>
    <w:p w:rsidR="00D7413E" w:rsidRDefault="00D7413E" w:rsidP="00D7413E">
      <w:pPr>
        <w:jc w:val="both"/>
      </w:pPr>
      <w:r>
        <w:t>L’inventaire après traitement permet de vérifier si les directives de la prescription ont été respectées.  La surface terrière, le respect des tiges à récolter, le respect des tiges à conserver, le respect de la régénération et le suivi des blessures sont tous des éléments vérifiés dans le logiciel « Tige » et qui permettent d’établir si la prescription a été respecté</w:t>
      </w:r>
      <w:r w:rsidR="000E0DC5">
        <w:t>e.</w:t>
      </w:r>
      <w:r>
        <w:t xml:space="preserve">      </w:t>
      </w:r>
    </w:p>
    <w:p w:rsidR="00D7413E" w:rsidRDefault="00D7413E" w:rsidP="00D7413E">
      <w:pPr>
        <w:jc w:val="both"/>
      </w:pPr>
    </w:p>
    <w:p w:rsidR="00D7413E" w:rsidRPr="005A2AA0" w:rsidRDefault="00D7413E" w:rsidP="00D7413E">
      <w:pPr>
        <w:jc w:val="both"/>
        <w:rPr>
          <w:rFonts w:ascii="Arial" w:hAnsi="Arial" w:cs="Arial"/>
          <w:i/>
          <w:u w:val="single"/>
        </w:rPr>
      </w:pPr>
      <w:r w:rsidRPr="005A2AA0">
        <w:rPr>
          <w:rFonts w:ascii="Arial" w:hAnsi="Arial" w:cs="Arial"/>
          <w:i/>
          <w:u w:val="single"/>
        </w:rPr>
        <w:t>Directives générale</w:t>
      </w:r>
      <w:r w:rsidR="000E0DC5">
        <w:rPr>
          <w:rFonts w:ascii="Arial" w:hAnsi="Arial" w:cs="Arial"/>
          <w:i/>
          <w:u w:val="single"/>
        </w:rPr>
        <w:t xml:space="preserve">s </w:t>
      </w:r>
      <w:r w:rsidRPr="005A2AA0">
        <w:rPr>
          <w:rFonts w:ascii="Arial" w:hAnsi="Arial" w:cs="Arial"/>
          <w:i/>
          <w:u w:val="single"/>
        </w:rPr>
        <w:t>applicable</w:t>
      </w:r>
      <w:r w:rsidR="000E0DC5">
        <w:rPr>
          <w:rFonts w:ascii="Arial" w:hAnsi="Arial" w:cs="Arial"/>
          <w:i/>
          <w:u w:val="single"/>
        </w:rPr>
        <w:t xml:space="preserve">s </w:t>
      </w:r>
      <w:r w:rsidRPr="005A2AA0">
        <w:rPr>
          <w:rFonts w:ascii="Arial" w:hAnsi="Arial" w:cs="Arial"/>
          <w:i/>
          <w:u w:val="single"/>
        </w:rPr>
        <w:t>aux coupes partielles afin de préserver les caractéristi</w:t>
      </w:r>
      <w:r w:rsidR="005A2AA0">
        <w:rPr>
          <w:rFonts w:ascii="Arial" w:hAnsi="Arial" w:cs="Arial"/>
          <w:i/>
          <w:u w:val="single"/>
        </w:rPr>
        <w:t>ques des structures résiduelles</w:t>
      </w:r>
    </w:p>
    <w:p w:rsidR="00D7413E" w:rsidRDefault="00D7413E" w:rsidP="00D7413E">
      <w:pPr>
        <w:jc w:val="both"/>
      </w:pPr>
      <w:r>
        <w:t>•</w:t>
      </w:r>
      <w:r>
        <w:tab/>
        <w:t>Espacement maximum entre les sentiers avec une cible de 35 mètres de centre à centre;</w:t>
      </w:r>
    </w:p>
    <w:p w:rsidR="00D7413E" w:rsidRDefault="00D7413E" w:rsidP="00D7413E">
      <w:pPr>
        <w:ind w:left="705" w:hanging="705"/>
        <w:jc w:val="both"/>
      </w:pPr>
      <w:r>
        <w:t>•</w:t>
      </w:r>
      <w:r>
        <w:tab/>
        <w:t>Largeur minimum des sentiers avec une cible à 5 mètres en privilégiant un faufilage entre les tiges désirées;</w:t>
      </w:r>
    </w:p>
    <w:p w:rsidR="00D7413E" w:rsidRDefault="00D7413E" w:rsidP="00D7413E">
      <w:pPr>
        <w:ind w:left="705" w:hanging="705"/>
        <w:jc w:val="both"/>
      </w:pPr>
      <w:r>
        <w:t>•</w:t>
      </w:r>
      <w:r>
        <w:tab/>
        <w:t>Utilisation de sentiers d’abatteuse fantôme pour récolter les arbres à couper entre les sentiers;</w:t>
      </w:r>
    </w:p>
    <w:p w:rsidR="00D7413E" w:rsidRDefault="00D7413E" w:rsidP="00D7413E">
      <w:pPr>
        <w:ind w:left="705" w:hanging="705"/>
        <w:jc w:val="both"/>
      </w:pPr>
      <w:r>
        <w:t>•</w:t>
      </w:r>
      <w:r>
        <w:tab/>
        <w:t>Lorsque l’équipement le permet, la largeur du panier des transporteurs sera réduite au minimum;</w:t>
      </w:r>
    </w:p>
    <w:p w:rsidR="00D7413E" w:rsidRDefault="00D7413E" w:rsidP="00D7413E">
      <w:pPr>
        <w:ind w:left="705" w:hanging="705"/>
        <w:jc w:val="both"/>
      </w:pPr>
      <w:r>
        <w:t>•</w:t>
      </w:r>
      <w:r>
        <w:tab/>
        <w:t>«Processage» des bois en longueur : ébrancher et tronçonner sur le sentier (ne pas créer de blessures et de renverser sur le côté du sentier);</w:t>
      </w:r>
    </w:p>
    <w:p w:rsidR="00D7413E" w:rsidRDefault="00D7413E" w:rsidP="00D7413E">
      <w:pPr>
        <w:ind w:left="705" w:hanging="705"/>
        <w:jc w:val="both"/>
      </w:pPr>
      <w:r>
        <w:t>•</w:t>
      </w:r>
      <w:r>
        <w:tab/>
        <w:t>Une évaluation régulière de la largeur et des espacements de sentiers sera réalisée par les responsables du suivi terrain;</w:t>
      </w:r>
    </w:p>
    <w:p w:rsidR="00F77507" w:rsidRDefault="00D7413E" w:rsidP="00D7413E">
      <w:pPr>
        <w:ind w:left="705" w:hanging="705"/>
        <w:jc w:val="both"/>
      </w:pPr>
      <w:r>
        <w:t>•</w:t>
      </w:r>
      <w:r>
        <w:tab/>
        <w:t>Toutes les données pertinentes à l’amélioration continue doivent être centralisées et communiquées aux opérateurs pour rétroaction toutes les semaines</w:t>
      </w:r>
      <w:r w:rsidR="005A2AA0">
        <w:t>.</w:t>
      </w:r>
      <w:r>
        <w:t xml:space="preserve">   </w:t>
      </w:r>
    </w:p>
    <w:p w:rsidR="005A2AA0" w:rsidRDefault="005A2AA0" w:rsidP="005A2AA0">
      <w:pPr>
        <w:jc w:val="both"/>
      </w:pPr>
    </w:p>
    <w:p w:rsidR="005A2AA0" w:rsidRDefault="005A2AA0" w:rsidP="005A2AA0">
      <w:pPr>
        <w:pStyle w:val="Titre2"/>
      </w:pPr>
      <w:bookmarkStart w:id="69" w:name="_Toc484513475"/>
      <w:r>
        <w:t>4.2 Bois mort et arbre faunique</w:t>
      </w:r>
      <w:bookmarkEnd w:id="69"/>
      <w:r>
        <w:t xml:space="preserve"> </w:t>
      </w:r>
    </w:p>
    <w:p w:rsidR="00D7413E" w:rsidRDefault="00D7413E" w:rsidP="00D7413E">
      <w:pPr>
        <w:jc w:val="both"/>
      </w:pPr>
    </w:p>
    <w:p w:rsidR="005A2AA0" w:rsidRDefault="005A2AA0" w:rsidP="005A2AA0">
      <w:pPr>
        <w:jc w:val="both"/>
      </w:pPr>
      <w:r w:rsidRPr="00F741A7">
        <w:t xml:space="preserve">Qu’il s’agisse de chicots ou de débris ligneux au sol, le bois mort constitue une composante de la structure forestière essentielle au maintien de plusieurs processus écologiques. En se dégradant, les débris ligneux au sol absorbent eau et nutriments, de sorte qu’ils constituent des lits de germination pour plusieurs espèces végétales et fongiques, en plus d’assurer un apport constant de nutriments dans le sol. Le bois mort constitue également l’habitat de communautés d’invertébrés diversifiées dont la biomasse considérable est nécessaire à l’équilibre de la chaîne alimentaire. Il s’agit aussi de structures de nidification essentielles à la reproduction de plusieurs espèces d’oiseaux, de chiroptères et d’autres micromammifères. La survie de plusieurs espèces de micromammifères, de reptiles et d’amphibiens, notamment les salamandres, dépend de ces structures qui fournissent un couvert de protection à la fois contre les prédateurs et contre les conditions défavorables du milieu. À l’échelle du paysage et du peuplement, la disponibilité (quantité) et la distribution spatio-temporelle du bois mort peut influencer l’abondance de certaines espèces (Harmon et al., </w:t>
      </w:r>
      <w:r w:rsidRPr="005F6422">
        <w:t>1986). Par ailleurs, l’intérêt biologique d’une unité de bois mort (chicot, souche ou bille) dépend également de la qualité de celle-ci e.g. essence, volume, diamètre, stade de décomposition. L’ensemble de ces facteurs doit être considéré lorsqu’il s’agit d’évaluer l’importance relative du bois mort résiduel sur les parterres de coupes.</w:t>
      </w:r>
    </w:p>
    <w:p w:rsidR="005A2AA0" w:rsidRPr="008F6C70" w:rsidRDefault="005A2AA0" w:rsidP="005A2AA0">
      <w:pPr>
        <w:jc w:val="both"/>
        <w:rPr>
          <w:color w:val="993300"/>
        </w:rPr>
      </w:pPr>
    </w:p>
    <w:p w:rsidR="005A2AA0" w:rsidRDefault="005A2AA0" w:rsidP="005A2AA0">
      <w:pPr>
        <w:jc w:val="both"/>
      </w:pPr>
      <w:r w:rsidRPr="00F741A7">
        <w:t>Depuis la reconnaissance de l’importance écologique du bois mort, diverses mesures instaurées à l’échelle des peuplements et des paysages visent à maintenir une quantité suffisante de bois mort</w:t>
      </w:r>
      <w:r w:rsidR="000E0DC5">
        <w:t xml:space="preserve">s </w:t>
      </w:r>
      <w:r w:rsidRPr="00F741A7">
        <w:t>dans les forêts aménagées. À l’échelle du paysage, le M</w:t>
      </w:r>
      <w:r>
        <w:t>FFP</w:t>
      </w:r>
      <w:r w:rsidRPr="00F741A7">
        <w:t xml:space="preserve"> a implanté, avec la mise en œuvre des P</w:t>
      </w:r>
      <w:r w:rsidR="006836A0">
        <w:t>AFIO</w:t>
      </w:r>
      <w:r w:rsidRPr="00F741A7">
        <w:t>,</w:t>
      </w:r>
      <w:r w:rsidR="006836A0">
        <w:t xml:space="preserve"> </w:t>
      </w:r>
      <w:r w:rsidR="006836A0" w:rsidRPr="006836A0">
        <w:t>u</w:t>
      </w:r>
      <w:r w:rsidRPr="006836A0">
        <w:t>ne norme relative à la conservation de lisières boisées riveraines soustraites à l’aménagement forestier. Selon les lignes directrices associées à ce</w:t>
      </w:r>
      <w:r w:rsidR="006836A0" w:rsidRPr="006836A0">
        <w:t xml:space="preserve"> VOIC</w:t>
      </w:r>
      <w:r w:rsidR="001056D4" w:rsidRPr="001056D4">
        <w:rPr>
          <w:rFonts w:ascii="Calibri" w:hAnsi="Calibri" w:cs="Calibri"/>
          <w:sz w:val="16"/>
          <w:szCs w:val="16"/>
          <w:lang w:val="fr-CA"/>
        </w:rPr>
        <w:t xml:space="preserve"> </w:t>
      </w:r>
      <w:r w:rsidR="001056D4">
        <w:rPr>
          <w:rFonts w:ascii="Calibri" w:hAnsi="Calibri" w:cs="Calibri"/>
          <w:sz w:val="16"/>
          <w:szCs w:val="16"/>
          <w:lang w:val="fr-CA"/>
        </w:rPr>
        <w:t>(453 1.130.100)</w:t>
      </w:r>
      <w:r w:rsidRPr="006836A0">
        <w:t>, cette mesure vise à « permettre à des arbres de diverses essences d’atteindre de fortes dimensions et éventuellement de devenir de gros chicots ou de gros débris ligneux » (</w:t>
      </w:r>
      <w:r w:rsidRPr="006836A0">
        <w:rPr>
          <w:lang w:val="fr-CA" w:eastAsia="fr-CA"/>
        </w:rPr>
        <w:t>Déry, S. et P. Labbé</w:t>
      </w:r>
      <w:r w:rsidRPr="006836A0">
        <w:rPr>
          <w:i/>
          <w:iCs/>
          <w:lang w:val="fr-CA" w:eastAsia="fr-CA"/>
        </w:rPr>
        <w:t xml:space="preserve">, </w:t>
      </w:r>
      <w:r w:rsidRPr="006836A0">
        <w:rPr>
          <w:lang w:val="fr-CA" w:eastAsia="fr-CA"/>
        </w:rPr>
        <w:t>2006)</w:t>
      </w:r>
      <w:r w:rsidRPr="006836A0">
        <w:t>. À cet effet, 20 % de la superficie productive totale des lisières boisées riveraines, par unité territoriale de référence (UTR), a été soustraite de façon permanente de tout aménagement forestier. Cette mesure devrait permettre d’augmenter la proportion de bois mort présent sur</w:t>
      </w:r>
      <w:r w:rsidRPr="006836A0">
        <w:rPr>
          <w:color w:val="993300"/>
        </w:rPr>
        <w:t xml:space="preserve"> </w:t>
      </w:r>
      <w:r w:rsidRPr="006836A0">
        <w:t>le territoire aménagé.</w:t>
      </w:r>
    </w:p>
    <w:p w:rsidR="005A2AA0" w:rsidRPr="005F6422" w:rsidRDefault="005A2AA0" w:rsidP="005A2AA0">
      <w:pPr>
        <w:jc w:val="both"/>
      </w:pPr>
    </w:p>
    <w:p w:rsidR="005A2AA0" w:rsidRDefault="00D7413E" w:rsidP="00F77507">
      <w:pPr>
        <w:jc w:val="both"/>
      </w:pPr>
      <w:r>
        <w:t>U</w:t>
      </w:r>
      <w:r w:rsidRPr="00D7413E">
        <w:t>n nombre d’arbres fauniques et de chicots doit être déterminé pour l’ensemble des coupes partielles d’un chantier. Ce résultat peut provenir d’une prise de données lors de la relecture de l’inventaire officiel ou dans le cadre d’un inventaire spécifique.</w:t>
      </w:r>
      <w:r>
        <w:t xml:space="preserve"> </w:t>
      </w:r>
    </w:p>
    <w:p w:rsidR="00D7413E" w:rsidRDefault="00F77507" w:rsidP="00F77507">
      <w:pPr>
        <w:jc w:val="both"/>
      </w:pPr>
      <w:r>
        <w:t xml:space="preserve"> </w:t>
      </w:r>
    </w:p>
    <w:p w:rsidR="00F77507" w:rsidRDefault="00D7413E" w:rsidP="00F77507">
      <w:pPr>
        <w:jc w:val="both"/>
      </w:pPr>
      <w:r w:rsidRPr="005A2AA0">
        <w:t>L</w:t>
      </w:r>
      <w:r w:rsidR="00F77507" w:rsidRPr="005A2AA0">
        <w:t xml:space="preserve">es chicots jugés dangereux doivent être abattus. Un suivi est fait </w:t>
      </w:r>
      <w:r w:rsidR="005A2AA0" w:rsidRPr="005A2AA0">
        <w:t>dans la relecture en après coupe</w:t>
      </w:r>
      <w:r w:rsidR="00F77507" w:rsidRPr="005A2AA0">
        <w:t>. Lorsqu'ils sont coupés, ceux-ci sont laissés au sol</w:t>
      </w:r>
      <w:r w:rsidR="00F77507">
        <w:t xml:space="preserve"> et contribuent à enrichir le site de débris ligneu</w:t>
      </w:r>
      <w:r w:rsidR="004D5B64">
        <w:t>x. Les chicots sont inventorié</w:t>
      </w:r>
      <w:r w:rsidR="000E0DC5">
        <w:t xml:space="preserve">s </w:t>
      </w:r>
      <w:r w:rsidR="00F77507">
        <w:t>lors de l'inventaire après-traitement. La formation environnementale annuelle inclut des notions d'aménagement écosystémique et la valeur faunique des arbres fruitiers, avec cavités.</w:t>
      </w:r>
    </w:p>
    <w:p w:rsidR="005A2AA0" w:rsidRDefault="005A2AA0" w:rsidP="00F77507">
      <w:pPr>
        <w:jc w:val="both"/>
      </w:pPr>
    </w:p>
    <w:p w:rsidR="00F77507" w:rsidRPr="00C23555" w:rsidRDefault="00F77507" w:rsidP="00F77507"/>
    <w:p w:rsidR="00F77507" w:rsidRPr="006D7551" w:rsidRDefault="00F77507" w:rsidP="00F77507">
      <w:pPr>
        <w:pStyle w:val="StyleTitre3Gras"/>
      </w:pPr>
      <w:bookmarkStart w:id="70" w:name="_Toc377988554"/>
      <w:bookmarkStart w:id="71" w:name="_Toc484513476"/>
      <w:r w:rsidRPr="006D7551">
        <w:t>Chicots</w:t>
      </w:r>
      <w:r w:rsidR="004D5B64">
        <w:t xml:space="preserve">, </w:t>
      </w:r>
      <w:r w:rsidRPr="006D7551">
        <w:t>arbres moribonds</w:t>
      </w:r>
      <w:bookmarkEnd w:id="70"/>
      <w:r w:rsidR="004D5B64">
        <w:t xml:space="preserve"> et débris ligneux</w:t>
      </w:r>
      <w:bookmarkEnd w:id="71"/>
    </w:p>
    <w:p w:rsidR="00F77507" w:rsidRDefault="00F77507" w:rsidP="00F77507">
      <w:pPr>
        <w:jc w:val="both"/>
        <w:rPr>
          <w:u w:val="single"/>
        </w:rPr>
      </w:pPr>
    </w:p>
    <w:p w:rsidR="00F77507" w:rsidRPr="006904AB" w:rsidRDefault="00F77507" w:rsidP="00F77507">
      <w:pPr>
        <w:jc w:val="both"/>
        <w:rPr>
          <w:u w:val="single"/>
        </w:rPr>
      </w:pPr>
      <w:r>
        <w:rPr>
          <w:u w:val="single"/>
        </w:rPr>
        <w:t>Chicots</w:t>
      </w:r>
    </w:p>
    <w:p w:rsidR="00F77507" w:rsidRPr="00327DC8" w:rsidRDefault="00F77507" w:rsidP="00F77507">
      <w:pPr>
        <w:rPr>
          <w:i/>
        </w:rPr>
      </w:pPr>
      <w:r w:rsidRPr="00327DC8">
        <w:rPr>
          <w:i/>
        </w:rPr>
        <w:t>Problématique</w:t>
      </w:r>
    </w:p>
    <w:p w:rsidR="00F77507" w:rsidRPr="001B281F" w:rsidRDefault="00F77507" w:rsidP="00F77507">
      <w:pPr>
        <w:jc w:val="both"/>
      </w:pPr>
      <w:r w:rsidRPr="001B281F">
        <w:t>Les chicots jouent un rôle important dans le maintien des processus écologiques de la forêt feuillue méridionale</w:t>
      </w:r>
      <w:r w:rsidR="005A2AA0">
        <w:t xml:space="preserve"> et dans la sapinière à bouleau jaune de l’est</w:t>
      </w:r>
      <w:r w:rsidRPr="001B281F">
        <w:t>. Or, l</w:t>
      </w:r>
      <w:r w:rsidR="005A2AA0">
        <w:t>es</w:t>
      </w:r>
      <w:r w:rsidRPr="001B281F">
        <w:t xml:space="preserve"> coupe</w:t>
      </w:r>
      <w:r w:rsidR="00FD5078">
        <w:t>s</w:t>
      </w:r>
      <w:r w:rsidRPr="001B281F">
        <w:t xml:space="preserve"> </w:t>
      </w:r>
      <w:r w:rsidR="005A2AA0">
        <w:t>partielles</w:t>
      </w:r>
      <w:r w:rsidRPr="001B281F">
        <w:t xml:space="preserve"> utilisée</w:t>
      </w:r>
      <w:r w:rsidR="005A2AA0">
        <w:t>s</w:t>
      </w:r>
      <w:r w:rsidRPr="001B281F">
        <w:t xml:space="preserve"> couramment dans ces forêts tend</w:t>
      </w:r>
      <w:r w:rsidR="00FD5078">
        <w:t>ent</w:t>
      </w:r>
      <w:r w:rsidRPr="001B281F">
        <w:t xml:space="preserve"> à réduire la présence des chicots. En effet, plusieurs chicots doivent être abattus au moment des opérations puisqu’ils posent un risque à la sécurité des travailleurs. De plus, l’objectif même de ce type de traitement étant d’éliminer les tiges de mauvaise qualité, l’assainissement des peuplements peut éventuellement mener à un problème de recrutement en chicots puisque les tiges à forte probabilité de mortalité sont systématiquement récoltées.</w:t>
      </w:r>
    </w:p>
    <w:p w:rsidR="00F77507" w:rsidRPr="001B281F" w:rsidRDefault="00F77507" w:rsidP="00F77507"/>
    <w:p w:rsidR="00F77507" w:rsidRPr="001B281F" w:rsidRDefault="00F77507" w:rsidP="00F77507">
      <w:pPr>
        <w:jc w:val="both"/>
      </w:pPr>
      <w:r w:rsidRPr="001B281F">
        <w:t xml:space="preserve">Les tiges à large diamètre présentent un intérêt faunique particulier, notamment pour les espèces nichant dans des cavités (Fan et al., 2003 ; Bergeron et al., 1997 ; Vaillancourt et al., 2008). Selon ces auteurs, un DHP de </w:t>
      </w:r>
      <w:smartTag w:uri="urn:schemas-microsoft-com:office:smarttags" w:element="metricconverter">
        <w:smartTagPr>
          <w:attr w:name="ProductID" w:val="30 cm"/>
        </w:smartTagPr>
        <w:r w:rsidRPr="001B281F">
          <w:t>30 cm</w:t>
        </w:r>
      </w:smartTag>
      <w:r w:rsidRPr="001B281F">
        <w:t xml:space="preserve"> correspondrait à un seuil à partir duquel les tiges seraient utilisées pour l’établissement de cavités de nidification. Il semble que même les arthropodes et les espèces aviaires de plus petites tailles ont tendance à surutiliser les tiges à plus fort diamètre (Saint-Germain et al., 2004 ; Bergeron et al., 1997). Une étude américaine effectuée en forêt feuillue jardinée comparable a, pour sa part, obtenu une densité de chicots de large diamètre (≥ </w:t>
      </w:r>
      <w:smartTag w:uri="urn:schemas-microsoft-com:office:smarttags" w:element="metricconverter">
        <w:smartTagPr>
          <w:attr w:name="ProductID" w:val="30 cm"/>
        </w:smartTagPr>
        <w:r w:rsidRPr="001B281F">
          <w:t>30 cm</w:t>
        </w:r>
      </w:smartTag>
      <w:r w:rsidRPr="001B281F">
        <w:t xml:space="preserve">) de 12 tiges/hectare (Goodburn et Lorimer, 1998). </w:t>
      </w:r>
    </w:p>
    <w:p w:rsidR="00F77507" w:rsidRPr="001B281F" w:rsidRDefault="00F77507" w:rsidP="00F77507"/>
    <w:p w:rsidR="00F77507" w:rsidRPr="001B281F" w:rsidRDefault="00F77507" w:rsidP="00F77507">
      <w:pPr>
        <w:jc w:val="both"/>
      </w:pPr>
      <w:r w:rsidRPr="001B281F">
        <w:t>En ce qui a trait au stade de décomposition, il a été démontré que l’utilisation des chicots par la faune avait tendance à augmenter avec le stade de dégradation</w:t>
      </w:r>
      <w:r>
        <w:t xml:space="preserve"> de ceux-ci (Fan et al., 2003 ; </w:t>
      </w:r>
      <w:r w:rsidRPr="001B281F">
        <w:t>Bergeron et al., 1997).</w:t>
      </w:r>
    </w:p>
    <w:p w:rsidR="00F77507" w:rsidRDefault="00F77507" w:rsidP="00F77507"/>
    <w:p w:rsidR="00F77507" w:rsidRPr="00B56D47" w:rsidRDefault="00F77507" w:rsidP="00F77507">
      <w:pPr>
        <w:jc w:val="both"/>
      </w:pPr>
      <w:r w:rsidRPr="00B56D47">
        <w:t xml:space="preserve">Dans le domaine bioclimatique de l’érablière à bouleau jaune de l’Est, l’étude non publiée du </w:t>
      </w:r>
    </w:p>
    <w:p w:rsidR="00F77507" w:rsidRDefault="00F77507" w:rsidP="00F77507">
      <w:pPr>
        <w:jc w:val="both"/>
      </w:pPr>
      <w:r w:rsidRPr="00B56D47">
        <w:t>MRNF (2009) établit la densité de chicot d</w:t>
      </w:r>
      <w:r>
        <w:t>es forêts anciennes à 58 ti/ha.</w:t>
      </w:r>
      <w:r w:rsidRPr="00B56D47">
        <w:t xml:space="preserve"> Selon cette même étude, on compte en moyenne 48 gros chicots par hectare (≥ 29,1cm), avec une variation entre 31 et 71 tiges/ha (Tableau 20). Une autre étude réalisée par </w:t>
      </w:r>
      <w:r>
        <w:t xml:space="preserve">Bergeron et al. (1997) sur une </w:t>
      </w:r>
      <w:r w:rsidRPr="00B56D47">
        <w:t xml:space="preserve">forêt peu </w:t>
      </w:r>
      <w:r>
        <w:t>affectée</w:t>
      </w:r>
      <w:r w:rsidRPr="00B56D47">
        <w:t xml:space="preserve"> par l’homme démontre la présence de 40 chi</w:t>
      </w:r>
      <w:r>
        <w:t xml:space="preserve">cots à l’hectare, dont 11 ayant </w:t>
      </w:r>
      <w:r w:rsidRPr="00B56D47">
        <w:t xml:space="preserve">un diamètre égal ou supérieur à </w:t>
      </w:r>
      <w:smartTag w:uri="urn:schemas-microsoft-com:office:smarttags" w:element="metricconverter">
        <w:smartTagPr>
          <w:attr w:name="ProductID" w:val="30 cm"/>
        </w:smartTagPr>
        <w:r w:rsidRPr="00B56D47">
          <w:t>30 cm</w:t>
        </w:r>
      </w:smartTag>
      <w:r w:rsidRPr="00B56D47">
        <w:t xml:space="preserve">. </w:t>
      </w:r>
    </w:p>
    <w:p w:rsidR="005A2AA0" w:rsidRDefault="005A2AA0" w:rsidP="00F77507">
      <w:pPr>
        <w:jc w:val="both"/>
      </w:pPr>
      <w:r>
        <w:t xml:space="preserve">Dans le domaine bioclimatique de la sapinière à bouleau jaune de l’est, on établit la densité </w:t>
      </w:r>
      <w:r w:rsidRPr="00B56D47">
        <w:t>de</w:t>
      </w:r>
      <w:r>
        <w:t xml:space="preserve"> gros </w:t>
      </w:r>
      <w:r w:rsidRPr="00B56D47">
        <w:t>chicot</w:t>
      </w:r>
      <w:r>
        <w:t xml:space="preserve">s </w:t>
      </w:r>
      <w:r w:rsidRPr="00B56D47">
        <w:t xml:space="preserve">(≥ </w:t>
      </w:r>
      <w:r>
        <w:t>1</w:t>
      </w:r>
      <w:r w:rsidRPr="00B56D47">
        <w:t>9,1cm) d</w:t>
      </w:r>
      <w:r>
        <w:t>es forêts anciennes à 25 ti/ha</w:t>
      </w:r>
      <w:r w:rsidR="00FD5078" w:rsidRPr="00FD5078">
        <w:t xml:space="preserve"> </w:t>
      </w:r>
      <w:r w:rsidR="00FD5078">
        <w:t>(</w:t>
      </w:r>
      <w:r w:rsidR="00FD5078" w:rsidRPr="00E30F8A">
        <w:t>Angers et al. 2005</w:t>
      </w:r>
      <w:r w:rsidR="00FD5078">
        <w:t>)</w:t>
      </w:r>
      <w:r>
        <w:t xml:space="preserve">. </w:t>
      </w:r>
    </w:p>
    <w:p w:rsidR="00F77507" w:rsidRPr="001B281F" w:rsidRDefault="00F77507" w:rsidP="00F77507"/>
    <w:p w:rsidR="00F77507" w:rsidRPr="00E30F8A" w:rsidRDefault="00F77507" w:rsidP="00F77507">
      <w:pPr>
        <w:rPr>
          <w:i/>
        </w:rPr>
      </w:pPr>
      <w:r w:rsidRPr="00E30F8A">
        <w:rPr>
          <w:i/>
        </w:rPr>
        <w:t>Objectif visé</w:t>
      </w:r>
    </w:p>
    <w:p w:rsidR="00F77507" w:rsidRPr="00E30F8A" w:rsidRDefault="00F77507" w:rsidP="006646E4">
      <w:pPr>
        <w:autoSpaceDE w:val="0"/>
        <w:autoSpaceDN w:val="0"/>
        <w:adjustRightInd w:val="0"/>
      </w:pPr>
      <w:r w:rsidRPr="00E30F8A">
        <w:t>Selon l’étude de Doyon et al., (2005), la densité de chicots passe de 156 tiges/ha dans les forêts non</w:t>
      </w:r>
      <w:r w:rsidR="000E0DC5">
        <w:t xml:space="preserve"> </w:t>
      </w:r>
      <w:r w:rsidRPr="00E30F8A">
        <w:t xml:space="preserve">aménagées à 97 dans les aires jardinées alors que Angers et al. (2005) n’ont observé aucune différence entre les deux types de peuplements (49 versus 44 tiges/ha). Par contre, les inventaires effectués dans le cadre de ces études ont eu lieu entre 9 et 12 ans après les interventions forestières. Il est donc possible de croire que les valeurs ainsi obtenues puissent inclure des tiges qui seraient mortes </w:t>
      </w:r>
      <w:r w:rsidRPr="00E30F8A">
        <w:rPr>
          <w:i/>
        </w:rPr>
        <w:t xml:space="preserve">a posteriori </w:t>
      </w:r>
      <w:r w:rsidRPr="00E30F8A">
        <w:t xml:space="preserve">des opérations de jardinage où la mortalité naturelle des tiges serait notamment accélérée (Angers, 2009 ; Bédard et Brassard, 2002). Sachant que les coupes de jardinage tendent à diminuer la quantité de chicots, l’objectif </w:t>
      </w:r>
      <w:r>
        <w:t>fixé vise à</w:t>
      </w:r>
      <w:r w:rsidRPr="00E30F8A">
        <w:t xml:space="preserve"> conserver 100 % des chicots qui ne présentent pas de danger pour les travailleurs. En effet, nous considérons que la sécurité de ceux-ci doit demeurer prioritaire.</w:t>
      </w:r>
      <w:r w:rsidR="006646E4">
        <w:t xml:space="preserve"> </w:t>
      </w:r>
    </w:p>
    <w:p w:rsidR="00F77507" w:rsidRPr="00E30F8A" w:rsidRDefault="00F77507" w:rsidP="00F77507">
      <w:pPr>
        <w:jc w:val="both"/>
      </w:pPr>
    </w:p>
    <w:p w:rsidR="00F77507" w:rsidRPr="00BF7E15" w:rsidRDefault="00F77507" w:rsidP="00F77507">
      <w:pPr>
        <w:jc w:val="both"/>
      </w:pPr>
      <w:r w:rsidRPr="00BF7E15">
        <w:t xml:space="preserve">L’inventaire des chicots est réalisé systématiquement au moment de la relecture des parcelles post-traitement. Pour chaque chicot inventorié, l’essence est identifiée et le DHP estimé. </w:t>
      </w:r>
    </w:p>
    <w:p w:rsidR="00F77507" w:rsidRDefault="00F77507" w:rsidP="00F77507">
      <w:pPr>
        <w:jc w:val="both"/>
        <w:rPr>
          <w:u w:val="single"/>
        </w:rPr>
      </w:pPr>
    </w:p>
    <w:p w:rsidR="00F77507" w:rsidRPr="006904AB" w:rsidRDefault="00F77507" w:rsidP="00F77507">
      <w:pPr>
        <w:jc w:val="both"/>
        <w:rPr>
          <w:u w:val="single"/>
        </w:rPr>
      </w:pPr>
      <w:r w:rsidRPr="006904AB">
        <w:rPr>
          <w:u w:val="single"/>
        </w:rPr>
        <w:t>Arbres moribonds</w:t>
      </w:r>
    </w:p>
    <w:p w:rsidR="00F77507" w:rsidRDefault="00F77507" w:rsidP="00F77507">
      <w:pPr>
        <w:autoSpaceDE w:val="0"/>
        <w:autoSpaceDN w:val="0"/>
        <w:adjustRightInd w:val="0"/>
      </w:pPr>
      <w:r>
        <w:t xml:space="preserve">Afin de contribuer au recrutement de chicot, nous avons comme objectif de maintenir une certaine quantité d’arbres moribonds sur le parterre de coupe afin de favoriser le recrutement de chicots et de débris ligneux au </w:t>
      </w:r>
      <w:r w:rsidRPr="00D70D49">
        <w:t>sol.  Lors de la préparation des prescriptions sylvicoles, les sylviculteurs du M</w:t>
      </w:r>
      <w:r w:rsidR="005A2AA0" w:rsidRPr="00D70D49">
        <w:t>FFP</w:t>
      </w:r>
      <w:r w:rsidRPr="00D70D49">
        <w:t xml:space="preserve"> visent à maintenir 1m</w:t>
      </w:r>
      <w:r w:rsidRPr="00D70D49">
        <w:rPr>
          <w:vertAlign w:val="superscript"/>
        </w:rPr>
        <w:t>2</w:t>
      </w:r>
      <w:r w:rsidRPr="00D70D49">
        <w:t xml:space="preserve"> de tiges de priorité de récolte M de qualité pâte. En fonction de la priorité de récolte établie par le M</w:t>
      </w:r>
      <w:r w:rsidR="005A2AA0" w:rsidRPr="00D70D49">
        <w:t>FFP</w:t>
      </w:r>
      <w:r w:rsidRPr="00D70D49">
        <w:t>, des tiges MO pourraient également ne pas être martelées.</w:t>
      </w:r>
    </w:p>
    <w:p w:rsidR="00F77507" w:rsidRDefault="00F77507" w:rsidP="00F77507">
      <w:pPr>
        <w:autoSpaceDE w:val="0"/>
        <w:autoSpaceDN w:val="0"/>
        <w:adjustRightInd w:val="0"/>
      </w:pPr>
    </w:p>
    <w:p w:rsidR="00F77507" w:rsidRDefault="00F77507" w:rsidP="00F77507">
      <w:pPr>
        <w:autoSpaceDE w:val="0"/>
        <w:autoSpaceDN w:val="0"/>
        <w:adjustRightInd w:val="0"/>
      </w:pPr>
      <w:r>
        <w:t>L’analyse des coupes de jardinage de l’année forestière 2012-2013 (chantier Rupert) a permis de constater que cette mesure permet de maintenir moyenne, 1,18 m²/ha de M de plus de 30cm de diamètre ainsi que 0,91 m²/ha de M de moins de 30 cm sur les parterres de coupe de jardinage pour un total de 2,09 m²/ha d’arbres moribonds</w:t>
      </w:r>
      <w:r w:rsidR="00FD5078">
        <w:t>.</w:t>
      </w:r>
    </w:p>
    <w:p w:rsidR="00F77507" w:rsidRDefault="00F77507" w:rsidP="00F77507">
      <w:pPr>
        <w:autoSpaceDE w:val="0"/>
        <w:autoSpaceDN w:val="0"/>
        <w:adjustRightInd w:val="0"/>
      </w:pPr>
    </w:p>
    <w:p w:rsidR="00F77507" w:rsidRDefault="00F77507" w:rsidP="00F77507">
      <w:pPr>
        <w:autoSpaceDE w:val="0"/>
        <w:autoSpaceDN w:val="0"/>
        <w:adjustRightInd w:val="0"/>
      </w:pPr>
      <w:r>
        <w:t xml:space="preserve"> </w:t>
      </w:r>
      <w:r w:rsidRPr="00970C34">
        <w:t>Afin de favoriser un bon habitat pour la faune, certains éléments de la forêt doivent aussi être conservés, dans une certaine proportion.  Ainsi, les arbres présentant des cavités de différents types, les arbres (ou arbustes) fruitiers ou à noix et les tiges supportant un nid de rapace reçoivent une attention particulière et sont conservés lorsque c’est possible de le faire.  Il est cependant évident que ce ne sont pas tous les arbres fruitiers ou à noix qui sont conservés, car ils sont relativement communs dans nos forêts (hêtre à grandes feuilles, chêne rouge).  Toutefois, lorsqu’ils sont rares dans un peuplement, quelques individus doivent être maintenus afin d’assurer une certaine disponibilité de la ressource alimentaire.</w:t>
      </w:r>
    </w:p>
    <w:p w:rsidR="004D5B64" w:rsidRDefault="004D5B64" w:rsidP="004D5B64">
      <w:pPr>
        <w:rPr>
          <w:i/>
        </w:rPr>
      </w:pPr>
    </w:p>
    <w:p w:rsidR="004D5B64" w:rsidRDefault="004D5B64" w:rsidP="004D5B64">
      <w:pPr>
        <w:rPr>
          <w:i/>
        </w:rPr>
      </w:pPr>
    </w:p>
    <w:p w:rsidR="004D5B64" w:rsidRDefault="004D5B64" w:rsidP="004D5B64">
      <w:pPr>
        <w:rPr>
          <w:i/>
        </w:rPr>
      </w:pPr>
    </w:p>
    <w:p w:rsidR="004D5B64" w:rsidRPr="00E30F8A" w:rsidRDefault="004D5B64" w:rsidP="004D5B64">
      <w:pPr>
        <w:rPr>
          <w:i/>
        </w:rPr>
      </w:pPr>
      <w:r w:rsidRPr="00E30F8A">
        <w:rPr>
          <w:i/>
        </w:rPr>
        <w:t>Objectif visé</w:t>
      </w:r>
    </w:p>
    <w:p w:rsidR="00F77507" w:rsidRDefault="006646E4" w:rsidP="006646E4">
      <w:pPr>
        <w:autoSpaceDE w:val="0"/>
        <w:autoSpaceDN w:val="0"/>
        <w:adjustRightInd w:val="0"/>
      </w:pPr>
      <w:r>
        <w:t xml:space="preserve">Dans le cas des aires martelées, les tiges à valeur fauniques ou fruitières seront identifiées, jusqu’à concurrence de 7 tiges par hectare, sur le terrain par les marteleurs à titre de moyen de conservation </w:t>
      </w:r>
      <w:r w:rsidRPr="006646E4">
        <w:t>(voir IN_446_05_06 Exigences de certification FSC</w:t>
      </w:r>
      <w:r>
        <w:t xml:space="preserve"> du Système de gestion environnementale du MFFP). </w:t>
      </w:r>
    </w:p>
    <w:p w:rsidR="004D5B64" w:rsidRDefault="004D5B64" w:rsidP="004D5B64">
      <w:pPr>
        <w:rPr>
          <w:u w:val="single"/>
        </w:rPr>
      </w:pPr>
      <w:bookmarkStart w:id="72" w:name="_Toc377988553"/>
    </w:p>
    <w:p w:rsidR="004D5B64" w:rsidRPr="004D5B64" w:rsidRDefault="004D5B64" w:rsidP="004D5B64">
      <w:pPr>
        <w:rPr>
          <w:u w:val="single"/>
        </w:rPr>
      </w:pPr>
      <w:r w:rsidRPr="004D5B64">
        <w:rPr>
          <w:u w:val="single"/>
        </w:rPr>
        <w:t>Débris ligneux au sol</w:t>
      </w:r>
      <w:bookmarkEnd w:id="72"/>
    </w:p>
    <w:p w:rsidR="004D5B64" w:rsidRPr="00327DC8" w:rsidRDefault="004D5B64" w:rsidP="004D5B64">
      <w:pPr>
        <w:rPr>
          <w:i/>
        </w:rPr>
      </w:pPr>
      <w:r w:rsidRPr="00327DC8">
        <w:rPr>
          <w:i/>
        </w:rPr>
        <w:t>Problématique</w:t>
      </w:r>
    </w:p>
    <w:p w:rsidR="004D5B64" w:rsidRPr="005F6422" w:rsidRDefault="004D5B64" w:rsidP="004D5B64">
      <w:pPr>
        <w:jc w:val="both"/>
      </w:pPr>
      <w:r w:rsidRPr="005F6422">
        <w:t>Les débris ligneux au sol constituent un élément important pour le maintien des processus écologique</w:t>
      </w:r>
      <w:r w:rsidR="000E0DC5">
        <w:t>s.</w:t>
      </w:r>
      <w:r w:rsidRPr="005F6422">
        <w:t xml:space="preserve"> Le volume de débris ligneux pour le domaine de l’érablière à bouleau jaune de l’Est se situe entre 51 et 55 m³/ha selon Leduc et Bergeron (1998). Dans le régime d’aménagement inéquienne qui utilise la coupe de jardinage, les niveaux de débris ligneux ne sont généralement pas considérés comme problématique.</w:t>
      </w:r>
      <w:r>
        <w:t xml:space="preserve"> Afin de confirmer cette affirmation, </w:t>
      </w:r>
      <w:r w:rsidRPr="00353123">
        <w:t xml:space="preserve">des inventaires et des analyses </w:t>
      </w:r>
      <w:r>
        <w:t xml:space="preserve">ont été effectués </w:t>
      </w:r>
      <w:r w:rsidRPr="00353123">
        <w:t xml:space="preserve">afin d’évaluer la quantité et la qualité de divers types de bois mort (débris ligneux au sol, chicots et arbres moribonds) sur les superficies traitées en coupe de jardinage </w:t>
      </w:r>
      <w:r>
        <w:t>secteur Margot et Besson de l’UA 61-52 (2012)</w:t>
      </w:r>
      <w:r w:rsidRPr="00353123">
        <w:t>.</w:t>
      </w:r>
      <w:r>
        <w:t xml:space="preserve"> </w:t>
      </w:r>
    </w:p>
    <w:p w:rsidR="004D5B64" w:rsidRPr="00B56D47" w:rsidRDefault="004D5B64" w:rsidP="004D5B64">
      <w:pPr>
        <w:rPr>
          <w:highlight w:val="yellow"/>
          <w:u w:val="single"/>
        </w:rPr>
      </w:pPr>
    </w:p>
    <w:p w:rsidR="004D5B64" w:rsidRDefault="004D5B64" w:rsidP="004D5B64">
      <w:pPr>
        <w:jc w:val="both"/>
      </w:pPr>
      <w:r w:rsidRPr="00353123">
        <w:t xml:space="preserve">Le volume de débris ligneux inventorié comprenait les troncs et branches au sol (DHP &gt; </w:t>
      </w:r>
      <w:smartTag w:uri="urn:schemas-microsoft-com:office:smarttags" w:element="metricconverter">
        <w:smartTagPr>
          <w:attr w:name="ProductID" w:val="9,0 cm"/>
        </w:smartTagPr>
        <w:r w:rsidRPr="00353123">
          <w:t>9,0 cm</w:t>
        </w:r>
      </w:smartTag>
      <w:r w:rsidRPr="00353123">
        <w:t xml:space="preserve">) de même que les souches (hauteur &lt; </w:t>
      </w:r>
      <w:smartTag w:uri="urn:schemas-microsoft-com:office:smarttags" w:element="metricconverter">
        <w:smartTagPr>
          <w:attr w:name="ProductID" w:val="1,3 m"/>
        </w:smartTagPr>
        <w:r w:rsidRPr="00353123">
          <w:t>1,3 m</w:t>
        </w:r>
      </w:smartTag>
      <w:r w:rsidRPr="00353123">
        <w:t xml:space="preserve">). Le volume moyen </w:t>
      </w:r>
      <w:r>
        <w:t xml:space="preserve">de débris ligneux </w:t>
      </w:r>
      <w:r w:rsidRPr="00353123">
        <w:t xml:space="preserve">estimé </w:t>
      </w:r>
      <w:r>
        <w:t xml:space="preserve">suite à la coupe </w:t>
      </w:r>
      <w:r w:rsidRPr="00353123">
        <w:t>était</w:t>
      </w:r>
      <w:r>
        <w:t xml:space="preserve"> supérieur à 198</w:t>
      </w:r>
      <w:r w:rsidRPr="00353123">
        <w:t xml:space="preserve"> m</w:t>
      </w:r>
      <w:r w:rsidRPr="00353123">
        <w:rPr>
          <w:vertAlign w:val="superscript"/>
        </w:rPr>
        <w:t>3</w:t>
      </w:r>
      <w:r w:rsidRPr="00353123">
        <w:t>/ha</w:t>
      </w:r>
      <w:r>
        <w:t xml:space="preserve"> (déchet de coupe et débris naturel)</w:t>
      </w:r>
      <w:r w:rsidRPr="00353123">
        <w:t>. Ainsi, les résultats obtenus s</w:t>
      </w:r>
      <w:r>
        <w:t>emblent supérieurs à tous les niveaux retrouvés dans l’ensemble des études du document d’Angers et al. (</w:t>
      </w:r>
      <w:r w:rsidRPr="00353123">
        <w:t>2005</w:t>
      </w:r>
      <w:r>
        <w:t>)</w:t>
      </w:r>
      <w:r w:rsidRPr="00353123">
        <w:t>.</w:t>
      </w:r>
      <w:r>
        <w:t xml:space="preserve">  </w:t>
      </w:r>
      <w:r w:rsidRPr="00D70D49">
        <w:t>On peut donc conclure les débris ligneux ne semble pas être un enjeu dans les terrain</w:t>
      </w:r>
      <w:r>
        <w:t>s</w:t>
      </w:r>
      <w:r w:rsidRPr="00D70D49">
        <w:t xml:space="preserve"> des coupe</w:t>
      </w:r>
      <w:r w:rsidR="000E0DC5">
        <w:t xml:space="preserve">s </w:t>
      </w:r>
      <w:r w:rsidRPr="00D70D49">
        <w:t>visités.</w:t>
      </w:r>
      <w:r>
        <w:t xml:space="preserve">  </w:t>
      </w:r>
    </w:p>
    <w:p w:rsidR="004D5B64" w:rsidRDefault="004D5B64" w:rsidP="004D5B64">
      <w:pPr>
        <w:jc w:val="both"/>
      </w:pPr>
    </w:p>
    <w:p w:rsidR="004D5B64" w:rsidRPr="00327DC8" w:rsidRDefault="004D5B64" w:rsidP="004D5B64">
      <w:pPr>
        <w:jc w:val="both"/>
        <w:rPr>
          <w:i/>
        </w:rPr>
      </w:pPr>
      <w:r w:rsidRPr="00327DC8">
        <w:rPr>
          <w:i/>
        </w:rPr>
        <w:t>Objectif visé</w:t>
      </w:r>
    </w:p>
    <w:p w:rsidR="004D5B64" w:rsidRDefault="004D5B64" w:rsidP="004D5B64">
      <w:pPr>
        <w:jc w:val="both"/>
      </w:pPr>
      <w:r w:rsidRPr="004D5B64">
        <w:t>Le recrutement de débris ligneux sera assuré par les mesures prise</w:t>
      </w:r>
      <w:r>
        <w:t>s</w:t>
      </w:r>
      <w:r w:rsidRPr="004D5B64">
        <w:t xml:space="preserve"> pour conserver les arbres moribond</w:t>
      </w:r>
      <w:r>
        <w:t>s</w:t>
      </w:r>
      <w:r w:rsidRPr="004D5B64">
        <w:t>, faunique</w:t>
      </w:r>
      <w:r w:rsidR="000E0DC5">
        <w:t xml:space="preserve">s </w:t>
      </w:r>
      <w:r w:rsidRPr="004D5B64">
        <w:t>et chicots décri</w:t>
      </w:r>
      <w:r w:rsidR="000E0DC5">
        <w:t>ts</w:t>
      </w:r>
      <w:r w:rsidRPr="004D5B64">
        <w:t xml:space="preserve"> dans les autres sections précédentes.  </w:t>
      </w:r>
    </w:p>
    <w:p w:rsidR="004D5B64" w:rsidRPr="004D5B64" w:rsidRDefault="004D5B64" w:rsidP="004D5B64">
      <w:pPr>
        <w:jc w:val="both"/>
      </w:pPr>
      <w:r w:rsidRPr="004D5B64">
        <w:t>En se basant sur les valeurs de débris ligneux en peuplements naturels (Angers et al. 2005), l’objectif de volume minimal a été fixé à 40 m</w:t>
      </w:r>
      <w:r w:rsidRPr="004D5B64">
        <w:rPr>
          <w:vertAlign w:val="superscript"/>
        </w:rPr>
        <w:t>3</w:t>
      </w:r>
      <w:r w:rsidRPr="004D5B64">
        <w:t>/ha. Cette valeur correspond à la limite inférieure des volumes mesurés dans des vieilles forêts de l’érablière à bouleau jaune et de l’érablière à tilleul. N’ayant pas de données relatives à la sapinière à bouleau jaune, la valeur seuil de l’érablière à bouleau jaune sera utilisé</w:t>
      </w:r>
      <w:r w:rsidR="000E0DC5">
        <w:t xml:space="preserve">e </w:t>
      </w:r>
      <w:r w:rsidRPr="004D5B64">
        <w:t>jusqu’attend que d’autre</w:t>
      </w:r>
      <w:r w:rsidR="000E0DC5">
        <w:t xml:space="preserve">s </w:t>
      </w:r>
      <w:r w:rsidRPr="004D5B64">
        <w:t xml:space="preserve">études puissent définir une nouvelle valeur. Des vérifications terrain pourront être </w:t>
      </w:r>
      <w:r>
        <w:t>réalisées</w:t>
      </w:r>
      <w:r w:rsidRPr="004D5B64">
        <w:t xml:space="preserve"> s’il est jugé que la quantité de débris ligneux </w:t>
      </w:r>
      <w:r>
        <w:t>semble insuffisante lors des inventaires après-traitement</w:t>
      </w:r>
      <w:r w:rsidRPr="004D5B64">
        <w:t xml:space="preserve">. </w:t>
      </w:r>
    </w:p>
    <w:p w:rsidR="004D5B64" w:rsidRPr="004D5B64" w:rsidRDefault="004D5B64" w:rsidP="004D5B64"/>
    <w:p w:rsidR="005A2AA0" w:rsidRDefault="005A2AA0" w:rsidP="005A2AA0">
      <w:pPr>
        <w:pStyle w:val="Titre2"/>
        <w:rPr>
          <w:lang w:val="fr-CA"/>
        </w:rPr>
      </w:pPr>
      <w:bookmarkStart w:id="73" w:name="_Toc484513477"/>
      <w:r>
        <w:rPr>
          <w:lang w:val="fr-CA"/>
        </w:rPr>
        <w:t xml:space="preserve">4.3 </w:t>
      </w:r>
      <w:r w:rsidRPr="00772CA6">
        <w:rPr>
          <w:lang w:val="fr-CA"/>
        </w:rPr>
        <w:t xml:space="preserve">Diversité </w:t>
      </w:r>
      <w:r>
        <w:rPr>
          <w:lang w:val="fr-CA"/>
        </w:rPr>
        <w:t>en essence de la forêt résiduelle</w:t>
      </w:r>
      <w:bookmarkEnd w:id="73"/>
    </w:p>
    <w:p w:rsidR="005A2AA0" w:rsidRDefault="005A2AA0" w:rsidP="005A2AA0">
      <w:pPr>
        <w:jc w:val="both"/>
        <w:rPr>
          <w:lang w:val="fr-CA"/>
        </w:rPr>
      </w:pPr>
    </w:p>
    <w:p w:rsidR="005A2AA0" w:rsidRPr="006646E4" w:rsidRDefault="005A2AA0" w:rsidP="005A2AA0">
      <w:pPr>
        <w:jc w:val="both"/>
      </w:pPr>
      <w:r w:rsidRPr="006646E4">
        <w:t>La récolte de matière ligneuse par coupe partielle dans les peuplements feuillus ou mixte</w:t>
      </w:r>
      <w:r w:rsidR="000E0DC5">
        <w:t xml:space="preserve">s </w:t>
      </w:r>
      <w:r w:rsidRPr="006646E4">
        <w:t xml:space="preserve">comme ceux du Québec, lorsque bien réalisée, n’a peu ou pas d’impact à court terme sur la composition. Par contre, à long terme, il y a un risque de diminution de la diversité en essences intolérantes et semi-tolérantes puisque la coupe de jardinage par pied d’arbre favorise généralement les essences tolérantes telles que l’érable à sucre et le hêtre. Le choix du traitement est un facteur important dans le maintien de la diversité des espèces et sera choisi avec précaution en gardant en tête l’enjeu de la diversité des espèces. </w:t>
      </w:r>
    </w:p>
    <w:p w:rsidR="005A2AA0" w:rsidRPr="006646E4" w:rsidRDefault="005A2AA0" w:rsidP="005A2AA0">
      <w:pPr>
        <w:jc w:val="both"/>
      </w:pPr>
    </w:p>
    <w:p w:rsidR="005A2AA0" w:rsidRPr="00432C32" w:rsidRDefault="005A2AA0" w:rsidP="006646E4">
      <w:pPr>
        <w:jc w:val="both"/>
      </w:pPr>
      <w:r w:rsidRPr="006646E4">
        <w:t xml:space="preserve">Pour chaque chantier, une analyse de la composition sera réalisée </w:t>
      </w:r>
      <w:r w:rsidR="006646E4">
        <w:t xml:space="preserve">par le MFFP </w:t>
      </w:r>
      <w:r w:rsidRPr="006646E4">
        <w:t xml:space="preserve">avant l’étape du martelage en calculant le pourcentage de la surface terrière de chacune des essences. Ainsi, lorsque jugé pertinent en fonction des espèces identifiées, une prescription sylvicole qui évite le martelage des espèces qui composent moins de 1 % de la surface terrière sera développée </w:t>
      </w:r>
      <w:r w:rsidR="006646E4">
        <w:t>(</w:t>
      </w:r>
      <w:r w:rsidRPr="006646E4">
        <w:t xml:space="preserve">voir </w:t>
      </w:r>
      <w:r w:rsidR="006646E4">
        <w:t>IN_446_05_06 Exigences de certification FSC 61-52, 62-51, cette norme est aussi applicable pour l’UA 062-52, discussion MFFP sur leur système de gestion environnementale</w:t>
      </w:r>
      <w:r w:rsidRPr="006646E4">
        <w:t>).</w:t>
      </w:r>
      <w:r w:rsidRPr="00432C32">
        <w:t xml:space="preserve"> </w:t>
      </w:r>
    </w:p>
    <w:p w:rsidR="00F77507" w:rsidRPr="00F77507" w:rsidRDefault="00F77507" w:rsidP="00F77507"/>
    <w:p w:rsidR="00F77507" w:rsidRPr="00F77507" w:rsidRDefault="00F77507" w:rsidP="00F77507"/>
    <w:p w:rsidR="00F77507" w:rsidRPr="00F77507" w:rsidRDefault="00F77507" w:rsidP="00F77507"/>
    <w:p w:rsidR="005219DA" w:rsidRPr="00F77507" w:rsidRDefault="00F77507" w:rsidP="00F77507">
      <w:pPr>
        <w:pStyle w:val="Titre1"/>
        <w:rPr>
          <w:rStyle w:val="Titre2Car1"/>
          <w:b/>
          <w:bCs/>
          <w:i w:val="0"/>
          <w:iCs w:val="0"/>
          <w:sz w:val="32"/>
          <w:szCs w:val="32"/>
        </w:rPr>
      </w:pPr>
      <w:r>
        <w:rPr>
          <w:lang w:val="fr-CA"/>
        </w:rPr>
        <w:br w:type="page"/>
      </w:r>
      <w:bookmarkStart w:id="74" w:name="_Toc484513478"/>
      <w:r w:rsidR="004050A3">
        <w:rPr>
          <w:lang w:val="fr-CA"/>
        </w:rPr>
        <w:t>5</w:t>
      </w:r>
      <w:r w:rsidRPr="00F77507">
        <w:t xml:space="preserve">.0 </w:t>
      </w:r>
      <w:r w:rsidR="005219DA" w:rsidRPr="00F77507">
        <w:rPr>
          <w:rStyle w:val="Titre2Car1"/>
          <w:b/>
          <w:bCs/>
          <w:i w:val="0"/>
          <w:iCs w:val="0"/>
          <w:sz w:val="32"/>
          <w:szCs w:val="32"/>
        </w:rPr>
        <w:t>Références</w:t>
      </w:r>
      <w:bookmarkEnd w:id="64"/>
      <w:bookmarkEnd w:id="74"/>
    </w:p>
    <w:p w:rsidR="005219DA" w:rsidRPr="001B281F" w:rsidRDefault="005219DA" w:rsidP="005219DA"/>
    <w:p w:rsidR="00414F09" w:rsidRPr="00432C32" w:rsidRDefault="00414F09" w:rsidP="005219DA">
      <w:pPr>
        <w:ind w:left="540" w:hanging="540"/>
        <w:jc w:val="both"/>
      </w:pPr>
      <w:r w:rsidRPr="00432C32">
        <w:t>Alvarez, É. 2009. Le couvert forestier lanaudois maintient-il ses caractéristiques préindustrielles ?, 21 p.</w:t>
      </w:r>
    </w:p>
    <w:p w:rsidR="00414F09" w:rsidRPr="00432C32" w:rsidRDefault="00414F09" w:rsidP="005219DA">
      <w:pPr>
        <w:ind w:left="540" w:hanging="540"/>
        <w:jc w:val="both"/>
      </w:pPr>
    </w:p>
    <w:p w:rsidR="005219DA" w:rsidRPr="00432C32" w:rsidRDefault="005219DA" w:rsidP="005219DA">
      <w:pPr>
        <w:ind w:left="540" w:hanging="540"/>
        <w:jc w:val="both"/>
      </w:pPr>
      <w:r w:rsidRPr="00432C32">
        <w:t xml:space="preserve">Angers, V. A., C. Messier, M. Beaudet et A. Leduc, 2005. </w:t>
      </w:r>
      <w:r w:rsidRPr="00900FCE">
        <w:rPr>
          <w:lang w:val="en-US"/>
        </w:rPr>
        <w:t>Comparing composition and structure in old-growth and harvested (sel</w:t>
      </w:r>
      <w:r w:rsidRPr="00432C32">
        <w:rPr>
          <w:lang w:val="en-CA"/>
        </w:rPr>
        <w:t xml:space="preserve">ection and diameter-limit cuts) northern hardwood stands in </w:t>
      </w:r>
      <w:smartTag w:uri="urn:schemas-microsoft-com:office:smarttags" w:element="place">
        <w:smartTag w:uri="urn:schemas-microsoft-com:office:smarttags" w:element="State">
          <w:r w:rsidRPr="00432C32">
            <w:rPr>
              <w:lang w:val="en-CA"/>
            </w:rPr>
            <w:t>Quebec</w:t>
          </w:r>
        </w:smartTag>
      </w:smartTag>
      <w:r w:rsidRPr="00432C32">
        <w:rPr>
          <w:lang w:val="en-CA"/>
        </w:rPr>
        <w:t xml:space="preserve">. </w:t>
      </w:r>
      <w:r w:rsidRPr="00432C32">
        <w:t>Forest Ecology and Management, 217 : 275-293.</w:t>
      </w:r>
    </w:p>
    <w:p w:rsidR="005219DA" w:rsidRPr="00432C32" w:rsidRDefault="005219DA" w:rsidP="005219DA">
      <w:pPr>
        <w:ind w:left="540" w:hanging="540"/>
        <w:jc w:val="both"/>
      </w:pPr>
    </w:p>
    <w:p w:rsidR="005219DA" w:rsidRPr="00432C32" w:rsidRDefault="005219DA" w:rsidP="005219DA">
      <w:pPr>
        <w:autoSpaceDE w:val="0"/>
        <w:autoSpaceDN w:val="0"/>
        <w:adjustRightInd w:val="0"/>
        <w:ind w:left="540" w:hanging="540"/>
        <w:jc w:val="both"/>
      </w:pPr>
      <w:r w:rsidRPr="00432C32">
        <w:t>Angers, V.-A. (2009). L’enjeu écologique du bois mort – Complément au Guide pour la description des principaux enjeux écologiques dans les plans régionaux de développement intégré des ressources et du territoire, Québec, pour le ministère des Ressources naturelles et de la Faune, Direction de l’environnement et de la protection des forêts, 45 p.</w:t>
      </w:r>
    </w:p>
    <w:p w:rsidR="00BD638D" w:rsidRPr="00900FCE" w:rsidRDefault="00BD638D" w:rsidP="00203460">
      <w:pPr>
        <w:jc w:val="both"/>
        <w:rPr>
          <w:lang w:val="fr-CA"/>
        </w:rPr>
      </w:pPr>
    </w:p>
    <w:p w:rsidR="00203460" w:rsidRPr="00432C32" w:rsidRDefault="00203460" w:rsidP="00203460">
      <w:pPr>
        <w:autoSpaceDE w:val="0"/>
        <w:autoSpaceDN w:val="0"/>
        <w:adjustRightInd w:val="0"/>
        <w:ind w:left="540" w:hanging="540"/>
        <w:rPr>
          <w:sz w:val="23"/>
          <w:szCs w:val="23"/>
          <w:lang w:val="en-CA" w:eastAsia="fr-CA"/>
        </w:rPr>
      </w:pPr>
      <w:r w:rsidRPr="00432C32">
        <w:rPr>
          <w:bCs/>
          <w:sz w:val="23"/>
          <w:szCs w:val="23"/>
          <w:lang w:val="en-CA" w:eastAsia="fr-CA"/>
        </w:rPr>
        <w:t>Barrette,M. and Bélanger,L.</w:t>
      </w:r>
      <w:r w:rsidRPr="00432C32">
        <w:rPr>
          <w:b/>
          <w:bCs/>
          <w:sz w:val="23"/>
          <w:szCs w:val="23"/>
          <w:lang w:val="en-CA" w:eastAsia="fr-CA"/>
        </w:rPr>
        <w:t xml:space="preserve"> </w:t>
      </w:r>
      <w:r w:rsidRPr="00432C32">
        <w:rPr>
          <w:sz w:val="23"/>
          <w:szCs w:val="23"/>
          <w:lang w:val="en-CA" w:eastAsia="fr-CA"/>
        </w:rPr>
        <w:t xml:space="preserve">2007. Historical reconstitution of the preindustrial landscape of the ecological region of the high hills of the lower Saint-Maurice. </w:t>
      </w:r>
      <w:smartTag w:uri="urn:schemas-microsoft-com:office:smarttags" w:element="country-region">
        <w:smartTag w:uri="urn:schemas-microsoft-com:office:smarttags" w:element="place">
          <w:r w:rsidRPr="00432C32">
            <w:rPr>
              <w:sz w:val="23"/>
              <w:szCs w:val="23"/>
              <w:lang w:val="en-CA" w:eastAsia="fr-CA"/>
            </w:rPr>
            <w:t>Can.</w:t>
          </w:r>
        </w:smartTag>
      </w:smartTag>
      <w:r w:rsidRPr="00432C32">
        <w:rPr>
          <w:sz w:val="23"/>
          <w:szCs w:val="23"/>
          <w:lang w:val="en-CA" w:eastAsia="fr-CA"/>
        </w:rPr>
        <w:t xml:space="preserve"> J. For. Res. 37: 1147-1160.</w:t>
      </w:r>
    </w:p>
    <w:p w:rsidR="00203460" w:rsidRPr="00432C32" w:rsidRDefault="00203460" w:rsidP="00203460">
      <w:pPr>
        <w:autoSpaceDE w:val="0"/>
        <w:autoSpaceDN w:val="0"/>
        <w:adjustRightInd w:val="0"/>
        <w:rPr>
          <w:sz w:val="23"/>
          <w:szCs w:val="23"/>
          <w:lang w:val="en-CA" w:eastAsia="fr-CA"/>
        </w:rPr>
      </w:pPr>
    </w:p>
    <w:p w:rsidR="00203460" w:rsidRPr="00900FCE" w:rsidRDefault="00203460" w:rsidP="00BB2143">
      <w:pPr>
        <w:autoSpaceDE w:val="0"/>
        <w:autoSpaceDN w:val="0"/>
        <w:adjustRightInd w:val="0"/>
        <w:ind w:left="540" w:hanging="540"/>
        <w:rPr>
          <w:bCs/>
          <w:sz w:val="23"/>
          <w:szCs w:val="23"/>
          <w:lang w:val="fr-CA" w:eastAsia="fr-CA"/>
        </w:rPr>
      </w:pPr>
      <w:r w:rsidRPr="00432C32">
        <w:rPr>
          <w:bCs/>
          <w:sz w:val="23"/>
          <w:szCs w:val="23"/>
          <w:lang w:val="en-CA" w:eastAsia="fr-CA"/>
        </w:rPr>
        <w:t>Bergeron, Y., Cyr, D., Drever, C.R., Flannigan, M., Gauthier, S., Kneeshaw, D.D., Lauzon, E., Leduc, A., Le Goff, H., Lesieur, D. et K.Logan. 2006.</w:t>
      </w:r>
      <w:r w:rsidRPr="00432C32">
        <w:rPr>
          <w:b/>
          <w:bCs/>
          <w:sz w:val="23"/>
          <w:szCs w:val="23"/>
          <w:lang w:val="en-CA" w:eastAsia="fr-CA"/>
        </w:rPr>
        <w:t xml:space="preserve"> </w:t>
      </w:r>
      <w:r w:rsidRPr="00432C32">
        <w:rPr>
          <w:sz w:val="23"/>
          <w:szCs w:val="23"/>
          <w:lang w:val="en-CA" w:eastAsia="fr-CA"/>
        </w:rPr>
        <w:t>Past, current, and future fire</w:t>
      </w:r>
      <w:r w:rsidRPr="00432C32">
        <w:rPr>
          <w:bCs/>
          <w:sz w:val="23"/>
          <w:szCs w:val="23"/>
          <w:lang w:val="en-CA" w:eastAsia="fr-CA"/>
        </w:rPr>
        <w:t xml:space="preserve"> </w:t>
      </w:r>
      <w:r w:rsidRPr="00432C32">
        <w:rPr>
          <w:sz w:val="23"/>
          <w:szCs w:val="23"/>
          <w:lang w:val="en-CA" w:eastAsia="fr-CA"/>
        </w:rPr>
        <w:t xml:space="preserve">frequencies in </w:t>
      </w:r>
      <w:smartTag w:uri="urn:schemas-microsoft-com:office:smarttags" w:element="State">
        <w:smartTag w:uri="urn:schemas-microsoft-com:office:smarttags" w:element="place">
          <w:r w:rsidRPr="00432C32">
            <w:rPr>
              <w:sz w:val="23"/>
              <w:szCs w:val="23"/>
              <w:lang w:val="en-CA" w:eastAsia="fr-CA"/>
            </w:rPr>
            <w:t>Quebec</w:t>
          </w:r>
        </w:smartTag>
      </w:smartTag>
      <w:r w:rsidRPr="00432C32">
        <w:rPr>
          <w:sz w:val="23"/>
          <w:szCs w:val="23"/>
          <w:lang w:val="en-CA" w:eastAsia="fr-CA"/>
        </w:rPr>
        <w:t>'s commercial forests: Implications for the cumulative effects of</w:t>
      </w:r>
      <w:r w:rsidRPr="00432C32">
        <w:rPr>
          <w:bCs/>
          <w:sz w:val="23"/>
          <w:szCs w:val="23"/>
          <w:lang w:val="en-CA" w:eastAsia="fr-CA"/>
        </w:rPr>
        <w:t xml:space="preserve"> </w:t>
      </w:r>
      <w:r w:rsidRPr="00432C32">
        <w:rPr>
          <w:sz w:val="23"/>
          <w:szCs w:val="23"/>
          <w:lang w:val="en-CA" w:eastAsia="fr-CA"/>
        </w:rPr>
        <w:t>harvesting and fire on age-class structure and natural disturbance-based management.</w:t>
      </w:r>
      <w:r w:rsidRPr="00432C32">
        <w:rPr>
          <w:bCs/>
          <w:sz w:val="23"/>
          <w:szCs w:val="23"/>
          <w:lang w:val="en-CA" w:eastAsia="fr-CA"/>
        </w:rPr>
        <w:t xml:space="preserve"> </w:t>
      </w:r>
      <w:r w:rsidRPr="00900FCE">
        <w:rPr>
          <w:sz w:val="23"/>
          <w:szCs w:val="23"/>
          <w:lang w:val="fr-CA" w:eastAsia="fr-CA"/>
        </w:rPr>
        <w:t xml:space="preserve">Canadian Journal of Forest Research. </w:t>
      </w:r>
      <w:r w:rsidRPr="00432C32">
        <w:rPr>
          <w:sz w:val="23"/>
          <w:szCs w:val="23"/>
          <w:lang w:val="fr-CA" w:eastAsia="fr-CA"/>
        </w:rPr>
        <w:t>36(11):2737-2744.</w:t>
      </w:r>
    </w:p>
    <w:p w:rsidR="00203460" w:rsidRPr="00900FCE" w:rsidRDefault="00203460" w:rsidP="00203460">
      <w:pPr>
        <w:jc w:val="both"/>
        <w:rPr>
          <w:lang w:val="fr-CA"/>
        </w:rPr>
      </w:pPr>
    </w:p>
    <w:p w:rsidR="005219DA" w:rsidRPr="00432C32" w:rsidRDefault="005219DA" w:rsidP="005219DA">
      <w:pPr>
        <w:ind w:left="540" w:hanging="540"/>
        <w:jc w:val="both"/>
      </w:pPr>
      <w:r w:rsidRPr="00432C32">
        <w:t xml:space="preserve">Bergeron, D., M. Darveau, A. Desrochers et J.-P. L. Savard, 1997. Impact de l'abondance des chicots sur les communautés aviaires et la sauvagine des forêts conifériennes et feuillues du Québec méridional. Série de rapports techniques No </w:t>
      </w:r>
      <w:smartTag w:uri="urn:schemas-microsoft-com:office:smarttags" w:element="metricconverter">
        <w:smartTagPr>
          <w:attr w:name="ProductID" w:val="271F"/>
        </w:smartTagPr>
        <w:r w:rsidRPr="00432C32">
          <w:t>271F</w:t>
        </w:r>
      </w:smartTag>
      <w:r w:rsidRPr="00432C32">
        <w:t xml:space="preserve">, Service canadien de la faune, région du Québec, Environnement Canada, Sainte-Foy, vi + 24 p. </w:t>
      </w:r>
    </w:p>
    <w:p w:rsidR="005219DA" w:rsidRPr="00432C32" w:rsidRDefault="005219DA" w:rsidP="005219DA">
      <w:pPr>
        <w:ind w:left="540" w:hanging="540"/>
        <w:jc w:val="both"/>
      </w:pPr>
    </w:p>
    <w:p w:rsidR="005219DA" w:rsidRPr="00900FCE" w:rsidRDefault="005219DA" w:rsidP="005219DA">
      <w:pPr>
        <w:ind w:left="540" w:hanging="540"/>
        <w:jc w:val="both"/>
        <w:rPr>
          <w:lang w:val="fr-CA"/>
        </w:rPr>
      </w:pPr>
      <w:r w:rsidRPr="00432C32">
        <w:t xml:space="preserve">Bérubé, P. et A.-M. Cabana. 1997. Programme de calcul du pourcentage maximal de coupe acceptable pour la conservation des écosystèmes aquatiques (version 1.0). Guide de l’utilisateur. Ministère de l’Environnement et de la Faune, Direction générale du patrimoine faunique et naturel, Direction de la faune et des habitats. </w:t>
      </w:r>
      <w:r w:rsidRPr="00900FCE">
        <w:rPr>
          <w:lang w:val="fr-CA"/>
        </w:rPr>
        <w:t>21 p. + 1 disquette.</w:t>
      </w:r>
    </w:p>
    <w:p w:rsidR="003C0044" w:rsidRPr="00432C32" w:rsidRDefault="003C0044" w:rsidP="003C0044">
      <w:pPr>
        <w:autoSpaceDE w:val="0"/>
        <w:autoSpaceDN w:val="0"/>
        <w:adjustRightInd w:val="0"/>
        <w:rPr>
          <w:b/>
          <w:bCs/>
          <w:sz w:val="23"/>
          <w:szCs w:val="23"/>
          <w:lang w:val="fr-CA" w:eastAsia="fr-CA"/>
        </w:rPr>
      </w:pPr>
    </w:p>
    <w:p w:rsidR="00173818" w:rsidRPr="00900FCE" w:rsidRDefault="00173818" w:rsidP="00173818">
      <w:pPr>
        <w:autoSpaceDE w:val="0"/>
        <w:autoSpaceDN w:val="0"/>
        <w:adjustRightInd w:val="0"/>
        <w:ind w:left="540" w:hanging="540"/>
        <w:rPr>
          <w:sz w:val="23"/>
          <w:szCs w:val="23"/>
          <w:lang w:val="en-US" w:eastAsia="fr-CA"/>
        </w:rPr>
      </w:pPr>
      <w:r w:rsidRPr="00234CAC">
        <w:rPr>
          <w:bCs/>
          <w:sz w:val="23"/>
          <w:szCs w:val="23"/>
          <w:lang w:val="fr-CA" w:eastAsia="fr-CA"/>
        </w:rPr>
        <w:t xml:space="preserve">Bouffard, D., Doyon, F., and Nolet, P. </w:t>
      </w:r>
      <w:r w:rsidRPr="00234CAC">
        <w:rPr>
          <w:sz w:val="23"/>
          <w:szCs w:val="23"/>
          <w:lang w:val="fr-CA" w:eastAsia="fr-CA"/>
        </w:rPr>
        <w:t xml:space="preserve">2003. </w:t>
      </w:r>
      <w:r w:rsidRPr="00432C32">
        <w:rPr>
          <w:sz w:val="23"/>
          <w:szCs w:val="23"/>
          <w:lang w:val="fr-CA" w:eastAsia="fr-CA"/>
        </w:rPr>
        <w:t xml:space="preserve">Historique et dynamisme écologique de la végétation forestière de la réserve faunique Rouge-Matawin de 1930 à nos jours. </w:t>
      </w:r>
      <w:r w:rsidRPr="00900FCE">
        <w:rPr>
          <w:sz w:val="23"/>
          <w:szCs w:val="23"/>
          <w:lang w:val="en-US" w:eastAsia="fr-CA"/>
        </w:rPr>
        <w:t xml:space="preserve">113 p. </w:t>
      </w:r>
    </w:p>
    <w:p w:rsidR="00173818" w:rsidRPr="00900FCE" w:rsidRDefault="00173818" w:rsidP="003C0044">
      <w:pPr>
        <w:autoSpaceDE w:val="0"/>
        <w:autoSpaceDN w:val="0"/>
        <w:adjustRightInd w:val="0"/>
        <w:rPr>
          <w:b/>
          <w:bCs/>
          <w:sz w:val="23"/>
          <w:szCs w:val="23"/>
          <w:lang w:val="en-US" w:eastAsia="fr-CA"/>
        </w:rPr>
      </w:pPr>
    </w:p>
    <w:p w:rsidR="005219DA" w:rsidRPr="00900FCE" w:rsidRDefault="003C0044" w:rsidP="003C0044">
      <w:pPr>
        <w:autoSpaceDE w:val="0"/>
        <w:autoSpaceDN w:val="0"/>
        <w:adjustRightInd w:val="0"/>
        <w:ind w:left="540" w:hanging="540"/>
        <w:rPr>
          <w:sz w:val="23"/>
          <w:szCs w:val="23"/>
          <w:lang w:val="fr-CA" w:eastAsia="fr-CA"/>
        </w:rPr>
      </w:pPr>
      <w:r w:rsidRPr="00900FCE">
        <w:rPr>
          <w:bCs/>
          <w:sz w:val="23"/>
          <w:szCs w:val="23"/>
          <w:lang w:val="en-US" w:eastAsia="fr-CA"/>
        </w:rPr>
        <w:t>Boulanger, Y. and Arseneault, D.</w:t>
      </w:r>
      <w:r w:rsidRPr="00900FCE">
        <w:rPr>
          <w:b/>
          <w:bCs/>
          <w:sz w:val="23"/>
          <w:szCs w:val="23"/>
          <w:lang w:val="en-US" w:eastAsia="fr-CA"/>
        </w:rPr>
        <w:t xml:space="preserve"> </w:t>
      </w:r>
      <w:r w:rsidRPr="00900FCE">
        <w:rPr>
          <w:sz w:val="23"/>
          <w:szCs w:val="23"/>
          <w:lang w:val="en-US" w:eastAsia="fr-CA"/>
        </w:rPr>
        <w:t xml:space="preserve">2004. </w:t>
      </w:r>
      <w:r w:rsidRPr="00432C32">
        <w:rPr>
          <w:sz w:val="23"/>
          <w:szCs w:val="23"/>
          <w:lang w:val="en-CA" w:eastAsia="fr-CA"/>
        </w:rPr>
        <w:t xml:space="preserve">Spruce budworm outbreaks in eastern Quebec over the last 450 years. </w:t>
      </w:r>
      <w:r w:rsidR="00911E51" w:rsidRPr="00900FCE">
        <w:rPr>
          <w:iCs/>
          <w:sz w:val="23"/>
          <w:szCs w:val="23"/>
          <w:lang w:val="fr-CA" w:eastAsia="fr-CA"/>
        </w:rPr>
        <w:t xml:space="preserve">Canadian Journal of Forest </w:t>
      </w:r>
      <w:r w:rsidRPr="00900FCE">
        <w:rPr>
          <w:iCs/>
          <w:sz w:val="23"/>
          <w:szCs w:val="23"/>
          <w:lang w:val="fr-CA" w:eastAsia="fr-CA"/>
        </w:rPr>
        <w:t>Res</w:t>
      </w:r>
      <w:r w:rsidR="00911E51" w:rsidRPr="00900FCE">
        <w:rPr>
          <w:iCs/>
          <w:sz w:val="23"/>
          <w:szCs w:val="23"/>
          <w:lang w:val="fr-CA" w:eastAsia="fr-CA"/>
        </w:rPr>
        <w:t>earch</w:t>
      </w:r>
      <w:r w:rsidRPr="00900FCE">
        <w:rPr>
          <w:i/>
          <w:iCs/>
          <w:sz w:val="23"/>
          <w:szCs w:val="23"/>
          <w:lang w:val="fr-CA" w:eastAsia="fr-CA"/>
        </w:rPr>
        <w:t xml:space="preserve">. </w:t>
      </w:r>
      <w:r w:rsidRPr="00900FCE">
        <w:rPr>
          <w:sz w:val="23"/>
          <w:szCs w:val="23"/>
          <w:lang w:val="fr-CA" w:eastAsia="fr-CA"/>
        </w:rPr>
        <w:t>34 (5):1035-1043.</w:t>
      </w:r>
    </w:p>
    <w:p w:rsidR="005219DA" w:rsidRPr="00432C32" w:rsidRDefault="005219DA" w:rsidP="005219DA">
      <w:pPr>
        <w:ind w:left="540" w:hanging="540"/>
        <w:jc w:val="both"/>
      </w:pPr>
    </w:p>
    <w:p w:rsidR="00A74518" w:rsidRPr="00432C32" w:rsidRDefault="00A74518" w:rsidP="005219DA">
      <w:pPr>
        <w:ind w:left="540" w:hanging="540"/>
        <w:jc w:val="both"/>
      </w:pPr>
      <w:r w:rsidRPr="00432C32">
        <w:t xml:space="preserve">Bureau du Forestier en Chef. 2008. Résultats du calcul de possibilité forestière – </w:t>
      </w:r>
      <w:r w:rsidR="003A4078">
        <w:t>UA</w:t>
      </w:r>
      <w:r w:rsidRPr="00432C32">
        <w:t xml:space="preserve"> 062-51. Site Internet. </w:t>
      </w:r>
      <w:hyperlink r:id="rId15" w:history="1">
        <w:r w:rsidRPr="00432C32">
          <w:rPr>
            <w:rStyle w:val="Lienhypertexte"/>
          </w:rPr>
          <w:t>http://www.forestierenchef.gouv.qc.ca/fichiers/documents/resultats/</w:t>
        </w:r>
        <w:r w:rsidR="003A4078">
          <w:rPr>
            <w:rStyle w:val="Lienhypertexte"/>
          </w:rPr>
          <w:t>UA</w:t>
        </w:r>
        <w:r w:rsidRPr="00432C32">
          <w:rPr>
            <w:rStyle w:val="Lienhypertexte"/>
          </w:rPr>
          <w:t>/FEC-FIC-723-62-51_v12.pdf</w:t>
        </w:r>
      </w:hyperlink>
      <w:r w:rsidR="00341C6C" w:rsidRPr="00432C32">
        <w:t>, consulté</w:t>
      </w:r>
      <w:r w:rsidR="00FD0465" w:rsidRPr="00432C32">
        <w:t xml:space="preserve"> le 3 février 2011.</w:t>
      </w:r>
    </w:p>
    <w:p w:rsidR="00A74518" w:rsidRPr="00432C32" w:rsidRDefault="00A74518" w:rsidP="005219DA">
      <w:pPr>
        <w:ind w:left="540" w:hanging="540"/>
        <w:jc w:val="both"/>
      </w:pPr>
    </w:p>
    <w:p w:rsidR="005219DA" w:rsidRPr="00432C32" w:rsidRDefault="005219DA" w:rsidP="005219DA">
      <w:pPr>
        <w:ind w:left="540" w:hanging="540"/>
        <w:jc w:val="both"/>
      </w:pPr>
      <w:r w:rsidRPr="00432C32">
        <w:t xml:space="preserve">Centre de Données sur le Patrimoine naturel du Québec. Liste des plantes menacées ou vulnérables selon la présence et le potentiel de présence dans les régions administratives. Site internet. </w:t>
      </w:r>
      <w:hyperlink r:id="rId16" w:history="1">
        <w:r w:rsidRPr="00432C32">
          <w:rPr>
            <w:rStyle w:val="Lienhypertexte"/>
          </w:rPr>
          <w:t>http://www.cdpnq.gouv.qc.ca/pdf/liste_PMV_RepaRA_08_2008.pdf</w:t>
        </w:r>
      </w:hyperlink>
      <w:r w:rsidR="00341C6C" w:rsidRPr="00432C32">
        <w:t>, consulté</w:t>
      </w:r>
      <w:r w:rsidRPr="00432C32">
        <w:t xml:space="preserve"> le </w:t>
      </w:r>
      <w:smartTag w:uri="urn:schemas-microsoft-com:office:smarttags" w:element="date">
        <w:smartTagPr>
          <w:attr w:name="ls" w:val="trans"/>
          <w:attr w:name="Month" w:val="2"/>
          <w:attr w:name="Day" w:val="12"/>
          <w:attr w:name="Year" w:val="2008"/>
        </w:smartTagPr>
        <w:r w:rsidRPr="00432C32">
          <w:t>12 février 2008</w:t>
        </w:r>
      </w:smartTag>
      <w:r w:rsidRPr="00432C32">
        <w:t>.</w:t>
      </w:r>
    </w:p>
    <w:p w:rsidR="005219DA" w:rsidRPr="00432C32" w:rsidRDefault="005219DA" w:rsidP="005219DA">
      <w:pPr>
        <w:ind w:left="540" w:hanging="540"/>
        <w:jc w:val="both"/>
      </w:pPr>
    </w:p>
    <w:p w:rsidR="005219DA" w:rsidRPr="00432C32" w:rsidRDefault="005219DA" w:rsidP="005219DA">
      <w:pPr>
        <w:ind w:left="540" w:hanging="540"/>
        <w:jc w:val="both"/>
      </w:pPr>
      <w:r w:rsidRPr="00432C32">
        <w:t xml:space="preserve">Centre de Données sur le Patrimoine naturel du Québec. 2008. </w:t>
      </w:r>
      <w:r w:rsidRPr="00432C32">
        <w:rPr>
          <w:iCs/>
        </w:rPr>
        <w:t>Les plantes vasculaires menacées ou vulnérables du Québec. 3e édition</w:t>
      </w:r>
      <w:r w:rsidRPr="00432C32">
        <w:rPr>
          <w:i/>
          <w:iCs/>
        </w:rPr>
        <w:t xml:space="preserve">. </w:t>
      </w:r>
      <w:r w:rsidRPr="00432C32">
        <w:t>Gouvernement du Québec, ministère du Développement durable, de l’Environnement et des Parcs, Direction du patrimoine écologique et des parcs, Québec. 180 p.</w:t>
      </w:r>
    </w:p>
    <w:p w:rsidR="005219DA" w:rsidRPr="00432C32" w:rsidRDefault="005219DA" w:rsidP="005219DA">
      <w:pPr>
        <w:ind w:left="540" w:hanging="540"/>
        <w:jc w:val="both"/>
        <w:rPr>
          <w:lang w:val="fr-CA"/>
        </w:rPr>
      </w:pPr>
    </w:p>
    <w:p w:rsidR="005219DA" w:rsidRPr="00432C32" w:rsidRDefault="005219DA" w:rsidP="005219DA">
      <w:pPr>
        <w:ind w:left="540" w:hanging="540"/>
        <w:jc w:val="both"/>
      </w:pPr>
      <w:r w:rsidRPr="00432C32">
        <w:t>Déry, S. et P. Labbé, 2006. Lignes directrices rattachées à l'objectif sur la conservation du bois mort dans les forêts aménagées : sélection de lisières boisées riveraines à soustraire de l’aménagement forestier, Québec, gouvernement du Québec, ministère des Ressources naturelles et de la Faune, Direction de l’environnement forestier, 15 p.</w:t>
      </w:r>
    </w:p>
    <w:p w:rsidR="005219DA" w:rsidRPr="00432C32" w:rsidRDefault="005219DA" w:rsidP="005219DA">
      <w:pPr>
        <w:ind w:left="540" w:hanging="540"/>
        <w:jc w:val="both"/>
      </w:pPr>
    </w:p>
    <w:p w:rsidR="00341C6C" w:rsidRPr="00432C32" w:rsidRDefault="00341C6C" w:rsidP="00341C6C">
      <w:pPr>
        <w:spacing w:after="60"/>
        <w:ind w:left="540" w:right="-108" w:hanging="540"/>
      </w:pPr>
      <w:r w:rsidRPr="00432C32">
        <w:t>Doyon 2008. Aménagement écosystémique de la forêt feuillue tempérée : opportunités et défis. Présentation dans le cadre du Symposium Nord-Américain sur l’aménagement écosystémique de la forêt feuillue. Gatineau, 13-</w:t>
      </w:r>
      <w:smartTag w:uri="urn:schemas-microsoft-com:office:smarttags" w:element="date">
        <w:smartTagPr>
          <w:attr w:name="ls" w:val="trans"/>
          <w:attr w:name="Month" w:val="5"/>
          <w:attr w:name="Day" w:val="15"/>
          <w:attr w:name="Year" w:val="2008"/>
        </w:smartTagPr>
        <w:r w:rsidRPr="00432C32">
          <w:t>15 mai 2008</w:t>
        </w:r>
      </w:smartTag>
      <w:r w:rsidRPr="00432C32">
        <w:t xml:space="preserve">. Organisé par l’Institut Québécois d’Aménagement de </w:t>
      </w:r>
      <w:smartTag w:uri="urn:schemas-microsoft-com:office:smarttags" w:element="PersonName">
        <w:smartTagPr>
          <w:attr w:name="ProductID" w:val="la For￪t Feuillue."/>
        </w:smartTagPr>
        <w:r w:rsidRPr="00432C32">
          <w:t>la Forêt Feuillue.</w:t>
        </w:r>
      </w:smartTag>
    </w:p>
    <w:p w:rsidR="00341C6C" w:rsidRPr="00432C32" w:rsidRDefault="00341C6C" w:rsidP="005219DA">
      <w:pPr>
        <w:ind w:left="540" w:hanging="540"/>
        <w:jc w:val="both"/>
      </w:pPr>
    </w:p>
    <w:p w:rsidR="00341C6C" w:rsidRPr="00432C32" w:rsidRDefault="00341C6C" w:rsidP="00341C6C">
      <w:pPr>
        <w:ind w:left="540" w:hanging="540"/>
        <w:jc w:val="both"/>
        <w:rPr>
          <w:lang w:val="fr-CA"/>
        </w:rPr>
      </w:pPr>
      <w:r w:rsidRPr="00432C32">
        <w:rPr>
          <w:lang w:val="fr-CA"/>
        </w:rPr>
        <w:t xml:space="preserve">Doyon, F., D. Gagnon et J.-F. Giroux, 2005. </w:t>
      </w:r>
      <w:r w:rsidRPr="00432C32">
        <w:rPr>
          <w:lang w:val="en-CA"/>
        </w:rPr>
        <w:t xml:space="preserve">Effects of strip and single-tree selection cutting on birds and their habitat in southerwestern QUebec northern hardwood forest. </w:t>
      </w:r>
      <w:r w:rsidRPr="00432C32">
        <w:rPr>
          <w:lang w:val="fr-CA"/>
        </w:rPr>
        <w:t>Forest Ecology and Management, 209: 101-115.</w:t>
      </w:r>
    </w:p>
    <w:p w:rsidR="00341C6C" w:rsidRPr="00432C32" w:rsidRDefault="00341C6C" w:rsidP="00341C6C">
      <w:pPr>
        <w:autoSpaceDE w:val="0"/>
        <w:autoSpaceDN w:val="0"/>
        <w:adjustRightInd w:val="0"/>
        <w:rPr>
          <w:bCs/>
          <w:lang w:val="fr-CA" w:eastAsia="fr-CA"/>
        </w:rPr>
      </w:pPr>
    </w:p>
    <w:p w:rsidR="00FB4FFC" w:rsidRPr="00432C32" w:rsidRDefault="00FB4FFC" w:rsidP="00FB4FFC">
      <w:pPr>
        <w:ind w:left="540" w:hanging="540"/>
        <w:jc w:val="both"/>
      </w:pPr>
      <w:r w:rsidRPr="00432C32">
        <w:t>Doyon, F, Bouffard, D. et J. Poirier. 2002. Classification et cartographie des habitats fauniques basée sur les caractéristiques structurales des peuplements forestiers de l’Outaouais. Institut québécois d'Aménagement de la Forêt feuillue, Ripon, Québec. Rapport technique, 140p. et annexe.</w:t>
      </w:r>
    </w:p>
    <w:p w:rsidR="00FB4FFC" w:rsidRDefault="00FB4FFC" w:rsidP="00733360">
      <w:pPr>
        <w:autoSpaceDE w:val="0"/>
        <w:autoSpaceDN w:val="0"/>
        <w:adjustRightInd w:val="0"/>
        <w:ind w:left="540" w:hanging="540"/>
        <w:rPr>
          <w:bCs/>
          <w:lang w:val="fr-CA" w:eastAsia="fr-CA"/>
        </w:rPr>
      </w:pPr>
    </w:p>
    <w:p w:rsidR="00341C6C" w:rsidRPr="00432C32" w:rsidRDefault="00341C6C" w:rsidP="00733360">
      <w:pPr>
        <w:autoSpaceDE w:val="0"/>
        <w:autoSpaceDN w:val="0"/>
        <w:adjustRightInd w:val="0"/>
        <w:ind w:left="540" w:hanging="540"/>
        <w:rPr>
          <w:lang w:val="fr-CA" w:eastAsia="fr-CA"/>
        </w:rPr>
      </w:pPr>
      <w:r w:rsidRPr="00432C32">
        <w:rPr>
          <w:bCs/>
          <w:lang w:val="fr-CA" w:eastAsia="fr-CA"/>
        </w:rPr>
        <w:t>Doyon, F. et S.</w:t>
      </w:r>
      <w:r w:rsidR="0025680E" w:rsidRPr="00432C32">
        <w:rPr>
          <w:bCs/>
          <w:lang w:val="fr-CA" w:eastAsia="fr-CA"/>
        </w:rPr>
        <w:t xml:space="preserve">  </w:t>
      </w:r>
      <w:r w:rsidRPr="00432C32">
        <w:rPr>
          <w:bCs/>
          <w:lang w:val="fr-CA" w:eastAsia="fr-CA"/>
        </w:rPr>
        <w:t xml:space="preserve">Sougavinski. </w:t>
      </w:r>
      <w:r w:rsidRPr="00432C32">
        <w:rPr>
          <w:lang w:val="fr-CA" w:eastAsia="fr-CA"/>
        </w:rPr>
        <w:t>2002. Caractérisation du régime de perturbations naturelles de la</w:t>
      </w:r>
      <w:r w:rsidR="00733360" w:rsidRPr="00432C32">
        <w:rPr>
          <w:lang w:val="fr-CA" w:eastAsia="fr-CA"/>
        </w:rPr>
        <w:t xml:space="preserve"> </w:t>
      </w:r>
      <w:r w:rsidRPr="00432C32">
        <w:rPr>
          <w:lang w:val="fr-CA" w:eastAsia="fr-CA"/>
        </w:rPr>
        <w:t>forêt feuillue du nord-est de l’Amérique du Nord. Rapport scientifique. Institut Québécois</w:t>
      </w:r>
      <w:r w:rsidR="00733360" w:rsidRPr="00432C32">
        <w:rPr>
          <w:lang w:val="fr-CA" w:eastAsia="fr-CA"/>
        </w:rPr>
        <w:t xml:space="preserve"> </w:t>
      </w:r>
      <w:r w:rsidRPr="00432C32">
        <w:rPr>
          <w:lang w:val="fr-CA" w:eastAsia="fr-CA"/>
        </w:rPr>
        <w:t xml:space="preserve">d’Aménagement de la Forêt Feuillue. </w:t>
      </w:r>
      <w:r w:rsidRPr="00900FCE">
        <w:rPr>
          <w:lang w:val="fr-CA" w:eastAsia="fr-CA"/>
        </w:rPr>
        <w:t>116 p.</w:t>
      </w:r>
    </w:p>
    <w:p w:rsidR="00341C6C" w:rsidRPr="00432C32" w:rsidRDefault="00341C6C" w:rsidP="00341C6C">
      <w:pPr>
        <w:jc w:val="both"/>
      </w:pPr>
    </w:p>
    <w:p w:rsidR="00FB4FFC" w:rsidRDefault="00FB4FFC" w:rsidP="00F20051">
      <w:pPr>
        <w:ind w:left="567" w:hanging="567"/>
        <w:jc w:val="both"/>
      </w:pPr>
      <w:r>
        <w:t>Doyon, F., G. O’Farill, V. McCullough, S. Ostojic, et P. Rochon. 2013. Restauration de la connectivité des massifs forestiers résineux et mixtes dans Lanaudière et le sud des Laurentides. Rapport scientifique de l’Institut des Sciences de la Forêt tempérée. 62 p. + 9 Annexes</w:t>
      </w:r>
    </w:p>
    <w:p w:rsidR="005219DA" w:rsidRPr="00432C32" w:rsidRDefault="005219DA" w:rsidP="00313001">
      <w:pPr>
        <w:ind w:left="540" w:hanging="540"/>
        <w:jc w:val="both"/>
        <w:rPr>
          <w:lang w:val="fr-CA"/>
        </w:rPr>
      </w:pPr>
    </w:p>
    <w:p w:rsidR="00203460" w:rsidRPr="00432C32" w:rsidRDefault="00203460" w:rsidP="007B0E50">
      <w:pPr>
        <w:autoSpaceDE w:val="0"/>
        <w:autoSpaceDN w:val="0"/>
        <w:adjustRightInd w:val="0"/>
        <w:ind w:left="540" w:hanging="540"/>
        <w:rPr>
          <w:lang w:val="en-CA" w:eastAsia="fr-CA"/>
        </w:rPr>
      </w:pPr>
      <w:r w:rsidRPr="009B7DD8">
        <w:rPr>
          <w:bCs/>
          <w:lang w:val="en-CA" w:eastAsia="fr-CA"/>
        </w:rPr>
        <w:t xml:space="preserve">Drever,R., Peterson,G., Messier,C., Bergeron,Y. and Flannigan,M. </w:t>
      </w:r>
      <w:r w:rsidR="007B0E50" w:rsidRPr="009B7DD8">
        <w:rPr>
          <w:lang w:val="en-CA" w:eastAsia="fr-CA"/>
        </w:rPr>
        <w:t xml:space="preserve">2006. Can forest </w:t>
      </w:r>
      <w:r w:rsidRPr="009B7DD8">
        <w:rPr>
          <w:lang w:val="en-CA" w:eastAsia="fr-CA"/>
        </w:rPr>
        <w:t xml:space="preserve">management based on natural disturbances maintain ecological resilience? </w:t>
      </w:r>
      <w:r w:rsidRPr="00432C32">
        <w:rPr>
          <w:i/>
          <w:iCs/>
          <w:lang w:val="en-CA" w:eastAsia="fr-CA"/>
        </w:rPr>
        <w:t xml:space="preserve">Can.J.For.Res. </w:t>
      </w:r>
      <w:r w:rsidRPr="00432C32">
        <w:rPr>
          <w:lang w:val="en-CA" w:eastAsia="fr-CA"/>
        </w:rPr>
        <w:t>36(9):2285-2299.</w:t>
      </w:r>
    </w:p>
    <w:p w:rsidR="00203460" w:rsidRPr="00432C32" w:rsidRDefault="00203460" w:rsidP="00313001">
      <w:pPr>
        <w:ind w:left="540" w:hanging="540"/>
        <w:jc w:val="both"/>
        <w:rPr>
          <w:lang w:val="en-CA"/>
        </w:rPr>
      </w:pPr>
    </w:p>
    <w:p w:rsidR="005219DA" w:rsidRPr="00432C32" w:rsidRDefault="005219DA" w:rsidP="005219DA">
      <w:pPr>
        <w:ind w:left="540" w:hanging="540"/>
        <w:jc w:val="both"/>
        <w:rPr>
          <w:lang w:val="fr-CA"/>
        </w:rPr>
      </w:pPr>
      <w:r w:rsidRPr="00432C32">
        <w:rPr>
          <w:lang w:val="en-CA"/>
        </w:rPr>
        <w:t xml:space="preserve">Fan, Z., S. R. Shifley, M. A. Spetich, F. R. Thompson III, et D. R. Larsen, 2003. Distribution of cavity trees in Midwestern old-growth and second-growth forests. </w:t>
      </w:r>
      <w:r w:rsidRPr="00432C32">
        <w:rPr>
          <w:lang w:val="fr-CA"/>
        </w:rPr>
        <w:t>Canadian Journal of Forest Research, 33: 1481-1494.</w:t>
      </w:r>
    </w:p>
    <w:p w:rsidR="005219DA" w:rsidRPr="00432C32" w:rsidRDefault="005219DA" w:rsidP="005219DA">
      <w:pPr>
        <w:ind w:left="540" w:hanging="540"/>
        <w:jc w:val="both"/>
        <w:rPr>
          <w:lang w:val="fr-CA"/>
        </w:rPr>
      </w:pPr>
    </w:p>
    <w:p w:rsidR="005219DA" w:rsidRPr="00432C32" w:rsidRDefault="00733360" w:rsidP="005219DA">
      <w:pPr>
        <w:ind w:left="540" w:hanging="540"/>
        <w:jc w:val="both"/>
        <w:rPr>
          <w:lang w:val="fr-CA"/>
        </w:rPr>
      </w:pPr>
      <w:r w:rsidRPr="00432C32">
        <w:rPr>
          <w:lang w:val="fr-CA"/>
        </w:rPr>
        <w:t xml:space="preserve">Forget, É. </w:t>
      </w:r>
      <w:r w:rsidR="005219DA" w:rsidRPr="00432C32">
        <w:rPr>
          <w:lang w:val="fr-CA"/>
        </w:rPr>
        <w:t>2008 Planification spatialement explicite da</w:t>
      </w:r>
      <w:r w:rsidRPr="00432C32">
        <w:rPr>
          <w:lang w:val="fr-CA"/>
        </w:rPr>
        <w:t xml:space="preserve">ns le contexte de l’aménagement écosystémique : </w:t>
      </w:r>
      <w:r w:rsidR="005219DA" w:rsidRPr="00432C32">
        <w:rPr>
          <w:lang w:val="fr-CA"/>
        </w:rPr>
        <w:t>un exemple concret. Présentation dans le cadre du Symposium Nord-Américain sur l’aménagement écosystémique de la forêt feuillue. Gatineau, 13-</w:t>
      </w:r>
      <w:smartTag w:uri="urn:schemas-microsoft-com:office:smarttags" w:element="date">
        <w:smartTagPr>
          <w:attr w:name="ls" w:val="trans"/>
          <w:attr w:name="Month" w:val="5"/>
          <w:attr w:name="Day" w:val="15"/>
          <w:attr w:name="Year" w:val="2008"/>
        </w:smartTagPr>
        <w:r w:rsidR="005219DA" w:rsidRPr="00432C32">
          <w:rPr>
            <w:lang w:val="fr-CA"/>
          </w:rPr>
          <w:t>15 mai 2008</w:t>
        </w:r>
      </w:smartTag>
      <w:r w:rsidR="005219DA" w:rsidRPr="00432C32">
        <w:rPr>
          <w:lang w:val="fr-CA"/>
        </w:rPr>
        <w:t xml:space="preserve">. Organisée par l’Institut Québécois d’Aménagement de </w:t>
      </w:r>
      <w:smartTag w:uri="urn:schemas-microsoft-com:office:smarttags" w:element="PersonName">
        <w:smartTagPr>
          <w:attr w:name="ProductID" w:val="la For￪t Feuillue."/>
        </w:smartTagPr>
        <w:r w:rsidR="005219DA" w:rsidRPr="00432C32">
          <w:rPr>
            <w:lang w:val="fr-CA"/>
          </w:rPr>
          <w:t>la Forêt Feuillue.</w:t>
        </w:r>
      </w:smartTag>
    </w:p>
    <w:p w:rsidR="005219DA" w:rsidRPr="00432C32" w:rsidRDefault="005219DA" w:rsidP="005219DA">
      <w:pPr>
        <w:ind w:left="540" w:hanging="540"/>
        <w:jc w:val="both"/>
        <w:rPr>
          <w:lang w:val="fr-CA"/>
        </w:rPr>
      </w:pPr>
    </w:p>
    <w:p w:rsidR="005219DA" w:rsidRPr="00432C32" w:rsidRDefault="005219DA" w:rsidP="005219DA">
      <w:pPr>
        <w:ind w:left="540" w:hanging="540"/>
        <w:rPr>
          <w:lang w:val="en-CA"/>
        </w:rPr>
      </w:pPr>
      <w:r w:rsidRPr="00432C32">
        <w:rPr>
          <w:lang w:val="fr-CA"/>
        </w:rPr>
        <w:t xml:space="preserve">Forget, É. 2009. Portrait de la forêt historique des </w:t>
      </w:r>
      <w:r w:rsidR="003A4078">
        <w:rPr>
          <w:lang w:val="fr-CA"/>
        </w:rPr>
        <w:t>UA</w:t>
      </w:r>
      <w:r w:rsidRPr="00432C32">
        <w:rPr>
          <w:lang w:val="fr-CA"/>
        </w:rPr>
        <w:t xml:space="preserve"> 72-51 et 64-52. Document préparé dans le cadre de la certification FSC. MC Forêt inc. </w:t>
      </w:r>
      <w:r w:rsidRPr="00432C32">
        <w:rPr>
          <w:lang w:val="en-CA"/>
        </w:rPr>
        <w:t>Juin 2009. 25 pages.</w:t>
      </w:r>
    </w:p>
    <w:p w:rsidR="005219DA" w:rsidRPr="00432C32" w:rsidRDefault="005219DA" w:rsidP="005219DA">
      <w:pPr>
        <w:ind w:left="540" w:hanging="540"/>
        <w:jc w:val="both"/>
        <w:rPr>
          <w:lang w:val="en-CA"/>
        </w:rPr>
      </w:pPr>
    </w:p>
    <w:p w:rsidR="005219DA" w:rsidRPr="00432C32" w:rsidRDefault="005219DA" w:rsidP="005219DA">
      <w:pPr>
        <w:ind w:left="540" w:hanging="540"/>
        <w:jc w:val="both"/>
        <w:rPr>
          <w:lang w:val="en-CA"/>
        </w:rPr>
      </w:pPr>
      <w:r w:rsidRPr="00432C32">
        <w:rPr>
          <w:lang w:val="en-CA"/>
        </w:rPr>
        <w:t xml:space="preserve">Goodburn, J.M., et C. G. Lorimer, 1998. Cavity trees and coarse woody debris in old-growth and managed northern hardwood forests in </w:t>
      </w:r>
      <w:smartTag w:uri="urn:schemas-microsoft-com:office:smarttags" w:element="State">
        <w:r w:rsidRPr="00432C32">
          <w:rPr>
            <w:lang w:val="en-CA"/>
          </w:rPr>
          <w:t>Wisconsin</w:t>
        </w:r>
      </w:smartTag>
      <w:r w:rsidRPr="00432C32">
        <w:rPr>
          <w:lang w:val="en-CA"/>
        </w:rPr>
        <w:t xml:space="preserve"> and </w:t>
      </w:r>
      <w:smartTag w:uri="urn:schemas-microsoft-com:office:smarttags" w:element="place">
        <w:smartTag w:uri="urn:schemas-microsoft-com:office:smarttags" w:element="State">
          <w:r w:rsidRPr="00432C32">
            <w:rPr>
              <w:lang w:val="en-CA"/>
            </w:rPr>
            <w:t>Michigan</w:t>
          </w:r>
        </w:smartTag>
      </w:smartTag>
      <w:r w:rsidRPr="00432C32">
        <w:rPr>
          <w:lang w:val="en-CA"/>
        </w:rPr>
        <w:t xml:space="preserve">. Canadian Journal of </w:t>
      </w:r>
      <w:smartTag w:uri="urn:schemas-microsoft-com:office:smarttags" w:element="place">
        <w:r w:rsidRPr="00432C32">
          <w:rPr>
            <w:lang w:val="en-CA"/>
          </w:rPr>
          <w:t>Forest</w:t>
        </w:r>
      </w:smartTag>
      <w:r w:rsidRPr="00432C32">
        <w:rPr>
          <w:lang w:val="en-CA"/>
        </w:rPr>
        <w:t xml:space="preserve"> Research, 28: 427-438.</w:t>
      </w:r>
    </w:p>
    <w:p w:rsidR="005219DA" w:rsidRPr="00432C32" w:rsidRDefault="005219DA" w:rsidP="005219DA">
      <w:pPr>
        <w:ind w:left="540" w:hanging="540"/>
        <w:jc w:val="both"/>
        <w:rPr>
          <w:lang w:val="en-CA"/>
        </w:rPr>
      </w:pPr>
    </w:p>
    <w:p w:rsidR="005219DA" w:rsidRPr="00432C32" w:rsidRDefault="005219DA" w:rsidP="005219DA">
      <w:pPr>
        <w:ind w:left="540" w:hanging="540"/>
        <w:jc w:val="both"/>
        <w:rPr>
          <w:lang w:val="en-CA"/>
        </w:rPr>
      </w:pPr>
      <w:r w:rsidRPr="00432C32">
        <w:rPr>
          <w:lang w:val="en-CA"/>
        </w:rPr>
        <w:t>Harmon, M. E., J.-F. Franklin, F. J. Swanson, P. Sollins, S. V. Gregory, J. D. Lattin, N. H. Anderson, S. P. Cline, N. G. Aumen, J. R. Sedell, G. W. Lienkaemper, K. Jr. Cromack and K. W. Cummins, 1986. Ecology of coarse woody debris in temperate ecosystems. Advances in Ecological Research, 15 : 133-302.</w:t>
      </w:r>
    </w:p>
    <w:p w:rsidR="005219DA" w:rsidRPr="00432C32" w:rsidRDefault="005219DA" w:rsidP="005219DA">
      <w:pPr>
        <w:ind w:left="540" w:hanging="540"/>
        <w:jc w:val="both"/>
        <w:rPr>
          <w:lang w:val="en-CA"/>
        </w:rPr>
      </w:pPr>
    </w:p>
    <w:p w:rsidR="005219DA" w:rsidRPr="00432C32" w:rsidRDefault="005219DA" w:rsidP="005219DA">
      <w:pPr>
        <w:ind w:left="540" w:hanging="540"/>
        <w:jc w:val="both"/>
        <w:rPr>
          <w:lang w:val="fr-CA"/>
        </w:rPr>
      </w:pPr>
      <w:r w:rsidRPr="00432C32">
        <w:rPr>
          <w:lang w:val="en-CA"/>
        </w:rPr>
        <w:t xml:space="preserve">Hunter, M.L.H. 1999. Maintaining biodiversity in forest ecosystems, Cambridge Univ. </w:t>
      </w:r>
      <w:r w:rsidRPr="00432C32">
        <w:rPr>
          <w:lang w:val="fr-CA"/>
        </w:rPr>
        <w:t>Press, Cambridge.</w:t>
      </w:r>
    </w:p>
    <w:p w:rsidR="005219DA" w:rsidRPr="00432C32" w:rsidRDefault="005219DA" w:rsidP="005219DA">
      <w:pPr>
        <w:ind w:left="540" w:hanging="540"/>
        <w:jc w:val="both"/>
        <w:rPr>
          <w:lang w:val="fr-CA"/>
        </w:rPr>
      </w:pPr>
    </w:p>
    <w:p w:rsidR="00203460" w:rsidRPr="00432C32" w:rsidRDefault="00203460" w:rsidP="00203460">
      <w:pPr>
        <w:autoSpaceDE w:val="0"/>
        <w:autoSpaceDN w:val="0"/>
        <w:adjustRightInd w:val="0"/>
        <w:ind w:left="540" w:hanging="540"/>
        <w:rPr>
          <w:lang w:val="fr-CA" w:eastAsia="fr-CA"/>
        </w:rPr>
      </w:pPr>
      <w:r w:rsidRPr="00432C32">
        <w:rPr>
          <w:bCs/>
          <w:lang w:val="fr-CA" w:eastAsia="fr-CA"/>
        </w:rPr>
        <w:t xml:space="preserve">Jardon,Y. </w:t>
      </w:r>
      <w:r w:rsidRPr="00432C32">
        <w:rPr>
          <w:lang w:val="fr-CA" w:eastAsia="fr-CA"/>
        </w:rPr>
        <w:t>2001. Analyses temporelles et spatiales des épidémies de la tordeuse des bourgeons de l’épinette au Québec. Thèse de Doctorat, Université du Québec à Chicoutimi. 157 p.</w:t>
      </w:r>
    </w:p>
    <w:p w:rsidR="00203460" w:rsidRPr="00432C32" w:rsidRDefault="00203460" w:rsidP="005219DA">
      <w:pPr>
        <w:ind w:left="540" w:hanging="540"/>
        <w:jc w:val="both"/>
        <w:rPr>
          <w:lang w:val="fr-CA"/>
        </w:rPr>
      </w:pPr>
    </w:p>
    <w:p w:rsidR="005219DA" w:rsidRPr="00432C32" w:rsidRDefault="005219DA" w:rsidP="005219DA">
      <w:pPr>
        <w:ind w:left="540" w:hanging="540"/>
        <w:jc w:val="both"/>
      </w:pPr>
      <w:r w:rsidRPr="00432C32">
        <w:rPr>
          <w:lang w:val="fr-CA"/>
        </w:rPr>
        <w:t xml:space="preserve">Langevin, R. et A. P. Plamondon, 2004. </w:t>
      </w:r>
      <w:r w:rsidRPr="00432C32">
        <w:t>Méthode de calcul de l’aire équivalente de coupe d’un bassin versant en relation avec le débit de pointe des cours d’eau dans la forêt à dominance résineuse, gouvernement du Québec, ministère des Ressources naturelles, de la Faune et des Parcs, Direction de l’environnement forestier et Université Laval, Faculté de foresterie et de géomatique, code de diffusion 2005-3008, 24 p.</w:t>
      </w:r>
    </w:p>
    <w:p w:rsidR="00203460" w:rsidRPr="00432C32" w:rsidRDefault="00203460" w:rsidP="00432C32">
      <w:pPr>
        <w:jc w:val="both"/>
      </w:pPr>
    </w:p>
    <w:p w:rsidR="005219DA" w:rsidRPr="00432C32" w:rsidRDefault="005219DA" w:rsidP="005219DA">
      <w:pPr>
        <w:ind w:left="540" w:hanging="540"/>
        <w:jc w:val="both"/>
      </w:pPr>
      <w:r w:rsidRPr="00432C32">
        <w:rPr>
          <w:lang w:val="en-CA"/>
        </w:rPr>
        <w:t xml:space="preserve">MacKenny, H. C., W. S. Keeton, T. M. Donovan, 2006. Effects of structural complexity enhancement on easthern red-backed salamander (Plethodon cinerus) populations in northern hardwood forests. </w:t>
      </w:r>
      <w:r w:rsidRPr="00432C32">
        <w:t>Forest Ecology and Management, 230 : 186-196.</w:t>
      </w:r>
    </w:p>
    <w:p w:rsidR="005219DA" w:rsidRPr="00432C32" w:rsidRDefault="005219DA" w:rsidP="005219DA">
      <w:pPr>
        <w:ind w:left="540" w:hanging="540"/>
        <w:jc w:val="both"/>
      </w:pPr>
    </w:p>
    <w:p w:rsidR="00F10E65" w:rsidRPr="00432C32" w:rsidRDefault="00F10E65" w:rsidP="005219DA">
      <w:pPr>
        <w:ind w:left="540" w:hanging="540"/>
        <w:jc w:val="both"/>
      </w:pPr>
      <w:r w:rsidRPr="00432C32">
        <w:rPr>
          <w:bCs/>
          <w:lang w:val="fr-CA" w:eastAsia="fr-CA"/>
        </w:rPr>
        <w:t xml:space="preserve">Marmen Vallée. D. </w:t>
      </w:r>
      <w:r w:rsidRPr="00432C32">
        <w:rPr>
          <w:lang w:val="fr-CA" w:eastAsia="fr-CA"/>
        </w:rPr>
        <w:t>(en cours). Portrait du territoire Lanaudois et de ses ressources naturelles.</w:t>
      </w:r>
    </w:p>
    <w:p w:rsidR="00F10E65" w:rsidRPr="00432C32" w:rsidRDefault="00F10E65" w:rsidP="005219DA">
      <w:pPr>
        <w:ind w:left="540" w:hanging="540"/>
        <w:jc w:val="both"/>
      </w:pPr>
    </w:p>
    <w:p w:rsidR="005219DA" w:rsidRPr="00432C32" w:rsidRDefault="005219DA" w:rsidP="005219DA">
      <w:pPr>
        <w:autoSpaceDE w:val="0"/>
        <w:autoSpaceDN w:val="0"/>
        <w:adjustRightInd w:val="0"/>
        <w:ind w:left="540" w:hanging="540"/>
        <w:jc w:val="both"/>
        <w:rPr>
          <w:lang w:val="fr-CA"/>
        </w:rPr>
      </w:pPr>
      <w:r w:rsidRPr="00432C32">
        <w:rPr>
          <w:lang w:val="fr-CA"/>
        </w:rPr>
        <w:t>Ministère des Ressources naturelles, 2002. Tige, Manuel de l’usager, version 3.04, gouvernement du Québec, 209 p.</w:t>
      </w:r>
    </w:p>
    <w:p w:rsidR="005219DA" w:rsidRPr="00432C32" w:rsidRDefault="005219DA" w:rsidP="005219DA">
      <w:pPr>
        <w:autoSpaceDE w:val="0"/>
        <w:autoSpaceDN w:val="0"/>
        <w:adjustRightInd w:val="0"/>
        <w:ind w:left="540" w:hanging="540"/>
        <w:jc w:val="both"/>
        <w:rPr>
          <w:lang w:val="fr-CA"/>
        </w:rPr>
      </w:pPr>
    </w:p>
    <w:p w:rsidR="005219DA" w:rsidRDefault="005219DA" w:rsidP="005219DA">
      <w:pPr>
        <w:autoSpaceDE w:val="0"/>
        <w:autoSpaceDN w:val="0"/>
        <w:adjustRightInd w:val="0"/>
        <w:ind w:left="540" w:hanging="540"/>
        <w:jc w:val="both"/>
        <w:rPr>
          <w:lang w:val="fr-CA"/>
        </w:rPr>
      </w:pPr>
      <w:r w:rsidRPr="00432C32">
        <w:rPr>
          <w:lang w:val="fr-CA"/>
        </w:rPr>
        <w:t xml:space="preserve">Ministère des Ressources naturelles et de la Faune, 2008. Méthodes d’échantillonnage pour les inventaires d’intervention (inventaire avant traitement) et pour les suivis des interventions forestières (après martelage et après coupe), Exercice </w:t>
      </w:r>
      <w:smartTag w:uri="urn:schemas-microsoft-com:office:smarttags" w:element="phone">
        <w:smartTagPr>
          <w:attr w:uri="urn:schemas-microsoft-com:office:office" w:name="ls" w:val="trans"/>
        </w:smartTagPr>
        <w:r w:rsidRPr="00432C32">
          <w:rPr>
            <w:lang w:val="fr-CA"/>
          </w:rPr>
          <w:t>2008-2009</w:t>
        </w:r>
      </w:smartTag>
      <w:r w:rsidRPr="00432C32">
        <w:rPr>
          <w:lang w:val="fr-CA"/>
        </w:rPr>
        <w:t xml:space="preserve">, gouvernement du Québec, Direction de l’aménagement des forêts publiques et privées, code de diffusion </w:t>
      </w:r>
      <w:smartTag w:uri="urn:schemas-microsoft-com:office:smarttags" w:element="phone">
        <w:smartTagPr>
          <w:attr w:uri="urn:schemas-microsoft-com:office:office" w:name="ls" w:val="trans"/>
        </w:smartTagPr>
        <w:r w:rsidRPr="00432C32">
          <w:rPr>
            <w:lang w:val="fr-CA"/>
          </w:rPr>
          <w:t>2008-3016</w:t>
        </w:r>
      </w:smartTag>
      <w:r w:rsidRPr="00432C32">
        <w:rPr>
          <w:lang w:val="fr-CA"/>
        </w:rPr>
        <w:t>, 196 p.</w:t>
      </w:r>
    </w:p>
    <w:p w:rsidR="00AC7904" w:rsidRDefault="00AC7904" w:rsidP="005219DA">
      <w:pPr>
        <w:autoSpaceDE w:val="0"/>
        <w:autoSpaceDN w:val="0"/>
        <w:adjustRightInd w:val="0"/>
        <w:ind w:left="540" w:hanging="540"/>
        <w:jc w:val="both"/>
        <w:rPr>
          <w:lang w:val="fr-CA"/>
        </w:rPr>
      </w:pPr>
    </w:p>
    <w:p w:rsidR="00AC7904" w:rsidRPr="00432C32" w:rsidRDefault="00AC7904" w:rsidP="005219DA">
      <w:pPr>
        <w:autoSpaceDE w:val="0"/>
        <w:autoSpaceDN w:val="0"/>
        <w:adjustRightInd w:val="0"/>
        <w:ind w:left="540" w:hanging="540"/>
        <w:jc w:val="both"/>
        <w:rPr>
          <w:lang w:val="fr-CA"/>
        </w:rPr>
      </w:pPr>
      <w:r w:rsidRPr="00432C32">
        <w:rPr>
          <w:lang w:val="fr-CA"/>
        </w:rPr>
        <w:t>Ministère des Ressources natu</w:t>
      </w:r>
      <w:r>
        <w:rPr>
          <w:lang w:val="fr-CA"/>
        </w:rPr>
        <w:t>relles et de la Faune, 2011</w:t>
      </w:r>
      <w:r w:rsidRPr="00432C32">
        <w:rPr>
          <w:lang w:val="fr-CA"/>
        </w:rPr>
        <w:t xml:space="preserve">. </w:t>
      </w:r>
      <w:r w:rsidRPr="00AC7904">
        <w:rPr>
          <w:lang w:val="fr-CA"/>
        </w:rPr>
        <w:t>Mémoire de recherche forestière n° 161. Ministère des Ressources naturelles et de la Faune, Direction de la recherche forestière. 21 p.</w:t>
      </w:r>
    </w:p>
    <w:p w:rsidR="008C7941" w:rsidRPr="00432C32" w:rsidRDefault="008C7941" w:rsidP="008C7941">
      <w:pPr>
        <w:autoSpaceDE w:val="0"/>
        <w:autoSpaceDN w:val="0"/>
        <w:adjustRightInd w:val="0"/>
        <w:jc w:val="both"/>
        <w:rPr>
          <w:lang w:val="fr-CA"/>
        </w:rPr>
      </w:pPr>
    </w:p>
    <w:p w:rsidR="005219DA" w:rsidRPr="00432C32" w:rsidRDefault="005219DA" w:rsidP="005219DA">
      <w:pPr>
        <w:autoSpaceDE w:val="0"/>
        <w:autoSpaceDN w:val="0"/>
        <w:adjustRightInd w:val="0"/>
        <w:ind w:left="540" w:hanging="540"/>
        <w:jc w:val="both"/>
        <w:rPr>
          <w:lang w:val="fr-CA"/>
        </w:rPr>
      </w:pPr>
      <w:r w:rsidRPr="00432C32">
        <w:rPr>
          <w:lang w:val="fr-CA"/>
        </w:rPr>
        <w:t xml:space="preserve">Nolet, P., Forget, E., Bouffard, D., et Doyon, F. </w:t>
      </w:r>
      <w:r w:rsidR="008C7941" w:rsidRPr="00432C32">
        <w:rPr>
          <w:lang w:val="fr-CA"/>
        </w:rPr>
        <w:t>2001</w:t>
      </w:r>
      <w:r w:rsidR="00F10E65" w:rsidRPr="00432C32">
        <w:rPr>
          <w:lang w:val="fr-CA"/>
        </w:rPr>
        <w:t xml:space="preserve">. </w:t>
      </w:r>
      <w:r w:rsidRPr="00432C32">
        <w:rPr>
          <w:lang w:val="fr-CA"/>
        </w:rPr>
        <w:t>Reconstitution historique du dynamisme du paysage forestier du bassin de La Lièvr</w:t>
      </w:r>
      <w:r w:rsidR="008C7941" w:rsidRPr="00432C32">
        <w:rPr>
          <w:lang w:val="fr-CA"/>
        </w:rPr>
        <w:t>e au cours du 20</w:t>
      </w:r>
      <w:r w:rsidR="008C7941" w:rsidRPr="00432C32">
        <w:rPr>
          <w:vertAlign w:val="superscript"/>
          <w:lang w:val="fr-CA"/>
        </w:rPr>
        <w:t>ième</w:t>
      </w:r>
      <w:r w:rsidR="008C7941" w:rsidRPr="00432C32">
        <w:rPr>
          <w:lang w:val="fr-CA"/>
        </w:rPr>
        <w:t xml:space="preserve"> </w:t>
      </w:r>
      <w:r w:rsidRPr="00432C32">
        <w:rPr>
          <w:lang w:val="fr-CA"/>
        </w:rPr>
        <w:t xml:space="preserve">siècle. 114 p. 2001. Ripon, Qc. Canada., Institut Québécois d'Aménagement de </w:t>
      </w:r>
      <w:smartTag w:uri="urn:schemas-microsoft-com:office:smarttags" w:element="PersonName">
        <w:smartTagPr>
          <w:attr w:name="ProductID" w:val="la Foret Feuillue."/>
        </w:smartTagPr>
        <w:r w:rsidRPr="00432C32">
          <w:rPr>
            <w:lang w:val="fr-CA"/>
          </w:rPr>
          <w:t>la Foret Feuillue.</w:t>
        </w:r>
      </w:smartTag>
    </w:p>
    <w:p w:rsidR="00B6164B" w:rsidRPr="00432C32" w:rsidRDefault="00B6164B" w:rsidP="008C7941">
      <w:pPr>
        <w:autoSpaceDE w:val="0"/>
        <w:autoSpaceDN w:val="0"/>
        <w:adjustRightInd w:val="0"/>
        <w:ind w:left="540" w:hanging="540"/>
        <w:jc w:val="both"/>
        <w:rPr>
          <w:lang w:val="fr-CA"/>
        </w:rPr>
      </w:pPr>
    </w:p>
    <w:p w:rsidR="008C7941" w:rsidRPr="00432C32" w:rsidRDefault="008C7941" w:rsidP="008C7941">
      <w:pPr>
        <w:autoSpaceDE w:val="0"/>
        <w:autoSpaceDN w:val="0"/>
        <w:adjustRightInd w:val="0"/>
        <w:ind w:left="540" w:hanging="540"/>
        <w:jc w:val="both"/>
        <w:rPr>
          <w:lang w:val="fr-CA" w:eastAsia="fr-CA"/>
        </w:rPr>
      </w:pPr>
      <w:r w:rsidRPr="00432C32">
        <w:rPr>
          <w:bCs/>
          <w:lang w:val="fr-CA" w:eastAsia="fr-CA"/>
        </w:rPr>
        <w:t xml:space="preserve">Nolet,P., Sougavinski,S. et Doyon,F. </w:t>
      </w:r>
      <w:r w:rsidRPr="00432C32">
        <w:rPr>
          <w:lang w:val="fr-CA" w:eastAsia="fr-CA"/>
        </w:rPr>
        <w:t>1999. Caractérisation du régime des perturbations naturelles de la Réserve faunique Papineau-Labelle. Industries James MacLaren et Forêt Québec. Écoforesterie consultants.</w:t>
      </w:r>
    </w:p>
    <w:p w:rsidR="008C7941" w:rsidRPr="00432C32" w:rsidRDefault="008C7941" w:rsidP="00B6164B">
      <w:pPr>
        <w:autoSpaceDE w:val="0"/>
        <w:autoSpaceDN w:val="0"/>
        <w:adjustRightInd w:val="0"/>
        <w:ind w:left="540" w:hanging="540"/>
        <w:jc w:val="both"/>
        <w:rPr>
          <w:lang w:val="fr-CA"/>
        </w:rPr>
      </w:pPr>
    </w:p>
    <w:p w:rsidR="00B51F1A" w:rsidRPr="00432C32" w:rsidRDefault="00B51F1A" w:rsidP="00B51F1A">
      <w:pPr>
        <w:autoSpaceDE w:val="0"/>
        <w:autoSpaceDN w:val="0"/>
        <w:adjustRightInd w:val="0"/>
        <w:rPr>
          <w:lang w:val="fr-CA" w:eastAsia="fr-CA"/>
        </w:rPr>
      </w:pPr>
      <w:r w:rsidRPr="00234CAC">
        <w:rPr>
          <w:bCs/>
          <w:lang w:val="fr-CA" w:eastAsia="fr-CA"/>
        </w:rPr>
        <w:t xml:space="preserve">Peterson, C. J. et Pickett, S.T.A. </w:t>
      </w:r>
      <w:r w:rsidRPr="00234CAC">
        <w:rPr>
          <w:lang w:val="fr-CA" w:eastAsia="fr-CA"/>
        </w:rPr>
        <w:t xml:space="preserve">1991. </w:t>
      </w:r>
      <w:r w:rsidRPr="00432C32">
        <w:rPr>
          <w:lang w:val="en-CA" w:eastAsia="fr-CA"/>
        </w:rPr>
        <w:t xml:space="preserve">Treefall and resprouting after windthrow. </w:t>
      </w:r>
      <w:r w:rsidRPr="00432C32">
        <w:rPr>
          <w:lang w:val="fr-CA" w:eastAsia="fr-CA"/>
        </w:rPr>
        <w:t>Forest</w:t>
      </w:r>
    </w:p>
    <w:p w:rsidR="00B51F1A" w:rsidRPr="00432C32" w:rsidRDefault="00B51F1A" w:rsidP="00B51F1A">
      <w:pPr>
        <w:autoSpaceDE w:val="0"/>
        <w:autoSpaceDN w:val="0"/>
        <w:adjustRightInd w:val="0"/>
        <w:ind w:left="540"/>
        <w:jc w:val="both"/>
        <w:rPr>
          <w:lang w:val="fr-CA"/>
        </w:rPr>
      </w:pPr>
      <w:r w:rsidRPr="00432C32">
        <w:rPr>
          <w:lang w:val="fr-CA" w:eastAsia="fr-CA"/>
        </w:rPr>
        <w:t>Ecology and Management. 42: 205-217.</w:t>
      </w:r>
    </w:p>
    <w:p w:rsidR="00B51F1A" w:rsidRPr="00432C32" w:rsidRDefault="00B51F1A" w:rsidP="00B6164B">
      <w:pPr>
        <w:autoSpaceDE w:val="0"/>
        <w:autoSpaceDN w:val="0"/>
        <w:adjustRightInd w:val="0"/>
        <w:ind w:left="540" w:hanging="540"/>
        <w:jc w:val="both"/>
        <w:rPr>
          <w:lang w:val="fr-CA"/>
        </w:rPr>
      </w:pPr>
    </w:p>
    <w:p w:rsidR="008532F2" w:rsidRPr="001056D4" w:rsidRDefault="008532F2" w:rsidP="00341C6C">
      <w:pPr>
        <w:autoSpaceDE w:val="0"/>
        <w:autoSpaceDN w:val="0"/>
        <w:adjustRightInd w:val="0"/>
        <w:ind w:left="540" w:hanging="540"/>
        <w:jc w:val="both"/>
        <w:rPr>
          <w:lang w:val="fr-CA"/>
        </w:rPr>
      </w:pPr>
      <w:r w:rsidRPr="008532F2">
        <w:rPr>
          <w:lang w:val="fr-CA"/>
        </w:rPr>
        <w:t>Raymond,</w:t>
      </w:r>
      <w:r>
        <w:rPr>
          <w:lang w:val="fr-CA"/>
        </w:rPr>
        <w:t xml:space="preserve"> P. Bédard, S. Tremblay, S. et C. Larouche. 2010.</w:t>
      </w:r>
      <w:r w:rsidRPr="008532F2">
        <w:rPr>
          <w:lang w:val="fr-CA"/>
        </w:rPr>
        <w:t xml:space="preserve"> La coupe progressive irrégulière, un outil prometteur pour la mise en œuvre de l’aménagement écosystémique au Québec</w:t>
      </w:r>
      <w:r>
        <w:rPr>
          <w:lang w:val="fr-CA"/>
        </w:rPr>
        <w:t>.</w:t>
      </w:r>
      <w:r w:rsidRPr="008532F2">
        <w:rPr>
          <w:lang w:val="fr-CA"/>
        </w:rPr>
        <w:t xml:space="preserve">  </w:t>
      </w:r>
      <w:hyperlink r:id="rId17" w:history="1">
        <w:r w:rsidRPr="001056D4">
          <w:rPr>
            <w:rStyle w:val="Lienhypertexte"/>
          </w:rPr>
          <w:t>http://www.mffp.gouv.qc.ca/publications/forets/connaissances/recherche/Raymond-Patricia/Avis18.pdf</w:t>
        </w:r>
      </w:hyperlink>
      <w:r w:rsidRPr="001056D4">
        <w:t xml:space="preserve">. </w:t>
      </w:r>
      <w:r w:rsidRPr="001056D4">
        <w:rPr>
          <w:lang w:val="fr-CA"/>
        </w:rPr>
        <w:t>Fiche technique MFFP. 2p</w:t>
      </w:r>
    </w:p>
    <w:p w:rsidR="008532F2" w:rsidRPr="001056D4" w:rsidRDefault="008532F2" w:rsidP="00341C6C">
      <w:pPr>
        <w:autoSpaceDE w:val="0"/>
        <w:autoSpaceDN w:val="0"/>
        <w:adjustRightInd w:val="0"/>
        <w:ind w:left="540" w:hanging="540"/>
        <w:jc w:val="both"/>
        <w:rPr>
          <w:lang w:val="fr-CA"/>
        </w:rPr>
      </w:pPr>
    </w:p>
    <w:p w:rsidR="000A61A2" w:rsidRPr="00432C32" w:rsidRDefault="000A61A2" w:rsidP="00341C6C">
      <w:pPr>
        <w:autoSpaceDE w:val="0"/>
        <w:autoSpaceDN w:val="0"/>
        <w:adjustRightInd w:val="0"/>
        <w:ind w:left="540" w:hanging="540"/>
        <w:jc w:val="both"/>
        <w:rPr>
          <w:lang w:val="fr-CA"/>
        </w:rPr>
      </w:pPr>
      <w:r w:rsidRPr="00432C32">
        <w:rPr>
          <w:lang w:val="fr-CA"/>
        </w:rPr>
        <w:t>Roy, M.-È., V. McCullough, F. Doyon et J. Poirier. 2010a. Portrait forestier historique du territoire des unités d’aménagement forestier 062-51 &amp; 062-52. Rapport technique. Institut québécois d’Aménagement de la Forêt feuillue. 90 p</w:t>
      </w:r>
      <w:r w:rsidR="00341C6C" w:rsidRPr="00432C32">
        <w:rPr>
          <w:lang w:val="fr-CA"/>
        </w:rPr>
        <w:t>.</w:t>
      </w:r>
    </w:p>
    <w:p w:rsidR="00341C6C" w:rsidRPr="00432C32" w:rsidRDefault="00341C6C" w:rsidP="00341C6C">
      <w:pPr>
        <w:autoSpaceDE w:val="0"/>
        <w:autoSpaceDN w:val="0"/>
        <w:adjustRightInd w:val="0"/>
        <w:ind w:left="540" w:hanging="540"/>
        <w:jc w:val="both"/>
        <w:rPr>
          <w:lang w:val="fr-CA"/>
        </w:rPr>
      </w:pPr>
    </w:p>
    <w:p w:rsidR="000A61A2" w:rsidRPr="00432C32" w:rsidRDefault="000A61A2" w:rsidP="007D0AE1">
      <w:pPr>
        <w:ind w:left="540" w:hanging="540"/>
        <w:jc w:val="both"/>
      </w:pPr>
      <w:r w:rsidRPr="00432C32">
        <w:t>Roy, M-È., V. McCullough, E. Mauri Ortuno et F. Doyon. 2010b. La détermination des enjeux écologiques régionaux liés à la mise en œuvre de l’aménagement écosystémique sur le territoire des unités d’aménagement forestier (</w:t>
      </w:r>
      <w:r w:rsidR="003A4078">
        <w:t>UA</w:t>
      </w:r>
      <w:r w:rsidRPr="00432C32">
        <w:t>) 62-52 &amp; 62-51. Rapport technique. Institut québécois d’Aménagement de la Forêt feuillue. 67 p. et annexes.</w:t>
      </w:r>
    </w:p>
    <w:p w:rsidR="00B6164B" w:rsidRPr="00432C32" w:rsidRDefault="00B6164B" w:rsidP="000A61A2">
      <w:pPr>
        <w:autoSpaceDE w:val="0"/>
        <w:autoSpaceDN w:val="0"/>
        <w:adjustRightInd w:val="0"/>
        <w:jc w:val="both"/>
        <w:rPr>
          <w:lang w:val="fr-CA"/>
        </w:rPr>
      </w:pPr>
    </w:p>
    <w:p w:rsidR="005219DA" w:rsidRPr="00432C32" w:rsidRDefault="005219DA" w:rsidP="005219DA">
      <w:pPr>
        <w:ind w:left="540" w:hanging="540"/>
        <w:jc w:val="both"/>
        <w:rPr>
          <w:lang w:val="en-CA"/>
        </w:rPr>
      </w:pPr>
      <w:r w:rsidRPr="00432C32">
        <w:t xml:space="preserve">SAINT-GERMAIN, M., P. DRAPEAU et C. HÉBERT (2004). </w:t>
      </w:r>
      <w:r w:rsidRPr="00432C32">
        <w:rPr>
          <w:lang w:val="en-CA"/>
        </w:rPr>
        <w:t>“Xylophagous insect species composition and patterns of substratum use on fire-killed black spruce in central Quebec”, Canadian Journal of Forest Research, 34: 677-685.</w:t>
      </w:r>
    </w:p>
    <w:p w:rsidR="005219DA" w:rsidRPr="00432C32" w:rsidRDefault="005219DA" w:rsidP="005219DA">
      <w:pPr>
        <w:autoSpaceDE w:val="0"/>
        <w:autoSpaceDN w:val="0"/>
        <w:adjustRightInd w:val="0"/>
        <w:ind w:left="540" w:hanging="540"/>
        <w:jc w:val="both"/>
        <w:rPr>
          <w:lang w:val="en-CA"/>
        </w:rPr>
      </w:pPr>
    </w:p>
    <w:p w:rsidR="005219DA" w:rsidRPr="00432C32" w:rsidRDefault="005219DA" w:rsidP="005219DA">
      <w:pPr>
        <w:ind w:left="540" w:hanging="540"/>
        <w:jc w:val="both"/>
        <w:rPr>
          <w:lang w:val="fr-CA"/>
        </w:rPr>
      </w:pPr>
      <w:r w:rsidRPr="00432C32">
        <w:rPr>
          <w:lang w:val="fr-CA"/>
        </w:rPr>
        <w:t xml:space="preserve">Service canadien des forêts, 2007. Notes sur les ravageurs, N°2, Chancre du noyer cendré, [En ligne] </w:t>
      </w:r>
      <w:hyperlink r:id="rId18" w:history="1">
        <w:r w:rsidRPr="00432C32">
          <w:rPr>
            <w:rStyle w:val="Lienhypertexte"/>
            <w:lang w:val="fr-CA"/>
          </w:rPr>
          <w:t>http://scf.rncan.gc.ca/nouvelles/457</w:t>
        </w:r>
      </w:hyperlink>
      <w:r w:rsidRPr="00432C32">
        <w:rPr>
          <w:lang w:val="fr-CA"/>
        </w:rPr>
        <w:t>, consulté le 17 décembre 2009.</w:t>
      </w:r>
    </w:p>
    <w:p w:rsidR="005219DA" w:rsidRPr="00432C32" w:rsidRDefault="005219DA" w:rsidP="005219DA">
      <w:pPr>
        <w:ind w:left="540" w:hanging="540"/>
        <w:jc w:val="both"/>
        <w:rPr>
          <w:lang w:val="fr-CA"/>
        </w:rPr>
      </w:pPr>
    </w:p>
    <w:p w:rsidR="005219DA" w:rsidRPr="001B281F" w:rsidRDefault="005219DA" w:rsidP="005219DA">
      <w:pPr>
        <w:ind w:left="540" w:hanging="540"/>
        <w:jc w:val="both"/>
        <w:rPr>
          <w:lang w:val="fr-CA"/>
        </w:rPr>
      </w:pPr>
      <w:r w:rsidRPr="00432C32">
        <w:t xml:space="preserve">Vaillancourt, M.-A., P. Drapeau, S. Gauthier et M. Robert, 2008. </w:t>
      </w:r>
      <w:r w:rsidRPr="00432C32">
        <w:rPr>
          <w:lang w:val="en-CA"/>
        </w:rPr>
        <w:t xml:space="preserve">Availability of standing trees for large cavity-nesting birds in the eastern boreal forest of Québec, Canada. </w:t>
      </w:r>
      <w:r w:rsidRPr="00432C32">
        <w:rPr>
          <w:lang w:val="fr-CA"/>
        </w:rPr>
        <w:t>Forest Ecology and Management, 255: 2272-2285.</w:t>
      </w:r>
    </w:p>
    <w:p w:rsidR="005219DA" w:rsidRPr="001B281F" w:rsidRDefault="005219DA" w:rsidP="005219DA">
      <w:pPr>
        <w:ind w:left="540" w:hanging="540"/>
        <w:jc w:val="both"/>
        <w:rPr>
          <w:lang w:val="fr-CA"/>
        </w:rPr>
      </w:pPr>
    </w:p>
    <w:p w:rsidR="005219DA" w:rsidRPr="004A2468" w:rsidRDefault="005219DA" w:rsidP="005219DA">
      <w:pPr>
        <w:keepNext/>
        <w:autoSpaceDE w:val="0"/>
        <w:autoSpaceDN w:val="0"/>
        <w:adjustRightInd w:val="0"/>
        <w:jc w:val="both"/>
        <w:rPr>
          <w:highlight w:val="yellow"/>
          <w:lang w:val="fr-CA"/>
        </w:rPr>
      </w:pPr>
    </w:p>
    <w:sectPr w:rsidR="005219DA" w:rsidRPr="004A2468" w:rsidSect="000A778B">
      <w:pgSz w:w="12240" w:h="15840"/>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D33B5" w:rsidRDefault="00FD33B5">
      <w:r>
        <w:separator/>
      </w:r>
    </w:p>
  </w:endnote>
  <w:endnote w:type="continuationSeparator" w:id="0">
    <w:p w:rsidR="00FD33B5" w:rsidRDefault="00FD3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W1)">
    <w:altName w:val="Times New Roman"/>
    <w:charset w:val="00"/>
    <w:family w:val="roman"/>
    <w:pitch w:val="variable"/>
    <w:sig w:usb0="20007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JansonText-Roman">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507" w:rsidRDefault="00F77507" w:rsidP="00456A4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F77507" w:rsidRDefault="00F77507" w:rsidP="00456A4D">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7507" w:rsidRDefault="00F77507" w:rsidP="00456A4D">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DB78FB">
      <w:rPr>
        <w:rStyle w:val="Numrodepage"/>
        <w:noProof/>
      </w:rPr>
      <w:t>iii</w:t>
    </w:r>
    <w:r>
      <w:rPr>
        <w:rStyle w:val="Numrodepage"/>
      </w:rPr>
      <w:fldChar w:fldCharType="end"/>
    </w:r>
  </w:p>
  <w:p w:rsidR="00F77507" w:rsidRPr="0078517C" w:rsidRDefault="00F77507" w:rsidP="000A778B">
    <w:pPr>
      <w:pStyle w:val="Pieddepage"/>
      <w:pBdr>
        <w:top w:val="single" w:sz="4" w:space="1" w:color="auto"/>
      </w:pBdr>
      <w:ind w:right="360"/>
      <w:jc w:val="cen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D33B5" w:rsidRDefault="00FD33B5">
      <w:r>
        <w:separator/>
      </w:r>
    </w:p>
  </w:footnote>
  <w:footnote w:type="continuationSeparator" w:id="0">
    <w:p w:rsidR="00FD33B5" w:rsidRDefault="00FD33B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8A03D0"/>
    <w:multiLevelType w:val="multilevel"/>
    <w:tmpl w:val="BC2C5696"/>
    <w:lvl w:ilvl="0">
      <w:start w:val="1"/>
      <w:numFmt w:val="decimal"/>
      <w:lvlText w:val="%1."/>
      <w:lvlJc w:val="left"/>
      <w:pPr>
        <w:ind w:left="720" w:hanging="36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F46258C"/>
    <w:multiLevelType w:val="hybridMultilevel"/>
    <w:tmpl w:val="26387E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AB287E"/>
    <w:multiLevelType w:val="hybridMultilevel"/>
    <w:tmpl w:val="58763D60"/>
    <w:lvl w:ilvl="0" w:tplc="B2C828B6">
      <w:start w:val="1"/>
      <w:numFmt w:val="decimal"/>
      <w:lvlText w:val="%1)"/>
      <w:lvlJc w:val="left"/>
      <w:pPr>
        <w:tabs>
          <w:tab w:val="num" w:pos="720"/>
        </w:tabs>
        <w:ind w:left="720" w:hanging="360"/>
      </w:pPr>
      <w:rPr>
        <w:rFonts w:hint="default"/>
        <w:b/>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3" w15:restartNumberingAfterBreak="0">
    <w:nsid w:val="1D2F49FB"/>
    <w:multiLevelType w:val="hybridMultilevel"/>
    <w:tmpl w:val="CBDAE8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E5C5CD7"/>
    <w:multiLevelType w:val="hybridMultilevel"/>
    <w:tmpl w:val="F97E2360"/>
    <w:lvl w:ilvl="0" w:tplc="0C0C0001">
      <w:start w:val="1"/>
      <w:numFmt w:val="bullet"/>
      <w:lvlText w:val=""/>
      <w:lvlJc w:val="left"/>
      <w:pPr>
        <w:ind w:left="1169" w:hanging="360"/>
      </w:pPr>
      <w:rPr>
        <w:rFonts w:ascii="Symbol" w:hAnsi="Symbol" w:hint="default"/>
      </w:rPr>
    </w:lvl>
    <w:lvl w:ilvl="1" w:tplc="0C0C0003" w:tentative="1">
      <w:start w:val="1"/>
      <w:numFmt w:val="bullet"/>
      <w:lvlText w:val="o"/>
      <w:lvlJc w:val="left"/>
      <w:pPr>
        <w:ind w:left="1889" w:hanging="360"/>
      </w:pPr>
      <w:rPr>
        <w:rFonts w:ascii="Courier New" w:hAnsi="Courier New" w:cs="Courier New" w:hint="default"/>
      </w:rPr>
    </w:lvl>
    <w:lvl w:ilvl="2" w:tplc="0C0C0005" w:tentative="1">
      <w:start w:val="1"/>
      <w:numFmt w:val="bullet"/>
      <w:lvlText w:val=""/>
      <w:lvlJc w:val="left"/>
      <w:pPr>
        <w:ind w:left="2609" w:hanging="360"/>
      </w:pPr>
      <w:rPr>
        <w:rFonts w:ascii="Wingdings" w:hAnsi="Wingdings" w:hint="default"/>
      </w:rPr>
    </w:lvl>
    <w:lvl w:ilvl="3" w:tplc="0C0C0001" w:tentative="1">
      <w:start w:val="1"/>
      <w:numFmt w:val="bullet"/>
      <w:lvlText w:val=""/>
      <w:lvlJc w:val="left"/>
      <w:pPr>
        <w:ind w:left="3329" w:hanging="360"/>
      </w:pPr>
      <w:rPr>
        <w:rFonts w:ascii="Symbol" w:hAnsi="Symbol" w:hint="default"/>
      </w:rPr>
    </w:lvl>
    <w:lvl w:ilvl="4" w:tplc="0C0C0003" w:tentative="1">
      <w:start w:val="1"/>
      <w:numFmt w:val="bullet"/>
      <w:lvlText w:val="o"/>
      <w:lvlJc w:val="left"/>
      <w:pPr>
        <w:ind w:left="4049" w:hanging="360"/>
      </w:pPr>
      <w:rPr>
        <w:rFonts w:ascii="Courier New" w:hAnsi="Courier New" w:cs="Courier New" w:hint="default"/>
      </w:rPr>
    </w:lvl>
    <w:lvl w:ilvl="5" w:tplc="0C0C0005" w:tentative="1">
      <w:start w:val="1"/>
      <w:numFmt w:val="bullet"/>
      <w:lvlText w:val=""/>
      <w:lvlJc w:val="left"/>
      <w:pPr>
        <w:ind w:left="4769" w:hanging="360"/>
      </w:pPr>
      <w:rPr>
        <w:rFonts w:ascii="Wingdings" w:hAnsi="Wingdings" w:hint="default"/>
      </w:rPr>
    </w:lvl>
    <w:lvl w:ilvl="6" w:tplc="0C0C0001" w:tentative="1">
      <w:start w:val="1"/>
      <w:numFmt w:val="bullet"/>
      <w:lvlText w:val=""/>
      <w:lvlJc w:val="left"/>
      <w:pPr>
        <w:ind w:left="5489" w:hanging="360"/>
      </w:pPr>
      <w:rPr>
        <w:rFonts w:ascii="Symbol" w:hAnsi="Symbol" w:hint="default"/>
      </w:rPr>
    </w:lvl>
    <w:lvl w:ilvl="7" w:tplc="0C0C0003" w:tentative="1">
      <w:start w:val="1"/>
      <w:numFmt w:val="bullet"/>
      <w:lvlText w:val="o"/>
      <w:lvlJc w:val="left"/>
      <w:pPr>
        <w:ind w:left="6209" w:hanging="360"/>
      </w:pPr>
      <w:rPr>
        <w:rFonts w:ascii="Courier New" w:hAnsi="Courier New" w:cs="Courier New" w:hint="default"/>
      </w:rPr>
    </w:lvl>
    <w:lvl w:ilvl="8" w:tplc="0C0C0005" w:tentative="1">
      <w:start w:val="1"/>
      <w:numFmt w:val="bullet"/>
      <w:lvlText w:val=""/>
      <w:lvlJc w:val="left"/>
      <w:pPr>
        <w:ind w:left="6929" w:hanging="360"/>
      </w:pPr>
      <w:rPr>
        <w:rFonts w:ascii="Wingdings" w:hAnsi="Wingdings" w:hint="default"/>
      </w:rPr>
    </w:lvl>
  </w:abstractNum>
  <w:abstractNum w:abstractNumId="5" w15:restartNumberingAfterBreak="0">
    <w:nsid w:val="1E9B659D"/>
    <w:multiLevelType w:val="hybridMultilevel"/>
    <w:tmpl w:val="B5C4CF8E"/>
    <w:lvl w:ilvl="0" w:tplc="714CFB30">
      <w:start w:val="1"/>
      <w:numFmt w:val="bullet"/>
      <w:lvlText w:val="–"/>
      <w:lvlJc w:val="left"/>
      <w:pPr>
        <w:tabs>
          <w:tab w:val="num" w:pos="2160"/>
        </w:tabs>
        <w:ind w:left="2160" w:hanging="360"/>
      </w:pPr>
      <w:rPr>
        <w:rFonts w:ascii="Times New Roman" w:hAnsi="Times New Roman" w:cs="Times New Roman" w:hint="default"/>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F056DD"/>
    <w:multiLevelType w:val="hybridMultilevel"/>
    <w:tmpl w:val="176CE672"/>
    <w:lvl w:ilvl="0" w:tplc="E5127650">
      <w:start w:val="3"/>
      <w:numFmt w:val="bullet"/>
      <w:pStyle w:val="StyleArialInterligne15ligne"/>
      <w:lvlText w:val="-"/>
      <w:lvlJc w:val="left"/>
      <w:pPr>
        <w:tabs>
          <w:tab w:val="num" w:pos="1080"/>
        </w:tabs>
        <w:ind w:left="1080" w:hanging="360"/>
      </w:pPr>
      <w:rPr>
        <w:rFonts w:ascii="Times New Roman" w:eastAsia="Times New Roman" w:hAnsi="Times New Roman"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5C34B33"/>
    <w:multiLevelType w:val="hybridMultilevel"/>
    <w:tmpl w:val="94506CA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3E7266B9"/>
    <w:multiLevelType w:val="hybridMultilevel"/>
    <w:tmpl w:val="0DD60BC4"/>
    <w:lvl w:ilvl="0" w:tplc="4080E676">
      <w:start w:val="1"/>
      <w:numFmt w:val="bullet"/>
      <w:lvlText w:val=""/>
      <w:lvlJc w:val="left"/>
      <w:pPr>
        <w:tabs>
          <w:tab w:val="num" w:pos="720"/>
        </w:tabs>
        <w:ind w:left="720" w:hanging="360"/>
      </w:pPr>
      <w:rPr>
        <w:rFonts w:ascii="Symbol" w:hAnsi="Symbol" w:hint="default"/>
        <w:sz w:val="16"/>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FF24348"/>
    <w:multiLevelType w:val="hybridMultilevel"/>
    <w:tmpl w:val="8C368F4A"/>
    <w:lvl w:ilvl="0" w:tplc="4080E676">
      <w:start w:val="1"/>
      <w:numFmt w:val="bullet"/>
      <w:lvlText w:val=""/>
      <w:lvlJc w:val="left"/>
      <w:pPr>
        <w:tabs>
          <w:tab w:val="num" w:pos="720"/>
        </w:tabs>
        <w:ind w:left="720" w:hanging="360"/>
      </w:pPr>
      <w:rPr>
        <w:rFonts w:ascii="Symbol" w:hAnsi="Symbol" w:hint="default"/>
        <w:sz w:val="16"/>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9F2505A"/>
    <w:multiLevelType w:val="hybridMultilevel"/>
    <w:tmpl w:val="96B87CD8"/>
    <w:lvl w:ilvl="0" w:tplc="8048CCE8">
      <w:start w:val="1"/>
      <w:numFmt w:val="bullet"/>
      <w:lvlText w:val="-"/>
      <w:lvlJc w:val="left"/>
      <w:pPr>
        <w:tabs>
          <w:tab w:val="num" w:pos="720"/>
        </w:tabs>
        <w:ind w:left="720" w:hanging="360"/>
      </w:pPr>
      <w:rPr>
        <w:rFonts w:ascii="Times New Roman" w:eastAsia="Times New Roman" w:hAnsi="Times New Roman" w:cs="Times New Roman" w:hint="default"/>
        <w:sz w:val="24"/>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73414F81"/>
    <w:multiLevelType w:val="hybridMultilevel"/>
    <w:tmpl w:val="10AA97B8"/>
    <w:lvl w:ilvl="0" w:tplc="6B806610">
      <w:start w:val="1"/>
      <w:numFmt w:val="bullet"/>
      <w:lvlText w:val="-"/>
      <w:lvlJc w:val="left"/>
      <w:pPr>
        <w:ind w:left="720" w:hanging="360"/>
      </w:pPr>
      <w:rPr>
        <w:rFonts w:ascii="Times New Roman" w:eastAsia="Calibri" w:hAnsi="Times New Roman" w:cs="Times New Roman"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7A2B0F5C"/>
    <w:multiLevelType w:val="hybridMultilevel"/>
    <w:tmpl w:val="11F8B5EA"/>
    <w:lvl w:ilvl="0" w:tplc="A8B4A868">
      <w:start w:val="1"/>
      <w:numFmt w:val="decimal"/>
      <w:lvlText w:val="%1)"/>
      <w:lvlJc w:val="left"/>
      <w:pPr>
        <w:tabs>
          <w:tab w:val="num" w:pos="1065"/>
        </w:tabs>
        <w:ind w:left="1065" w:hanging="360"/>
      </w:pPr>
      <w:rPr>
        <w:rFonts w:hint="default"/>
      </w:rPr>
    </w:lvl>
    <w:lvl w:ilvl="1" w:tplc="0C0C0019" w:tentative="1">
      <w:start w:val="1"/>
      <w:numFmt w:val="lowerLetter"/>
      <w:lvlText w:val="%2."/>
      <w:lvlJc w:val="left"/>
      <w:pPr>
        <w:tabs>
          <w:tab w:val="num" w:pos="1785"/>
        </w:tabs>
        <w:ind w:left="1785" w:hanging="360"/>
      </w:pPr>
    </w:lvl>
    <w:lvl w:ilvl="2" w:tplc="0C0C001B" w:tentative="1">
      <w:start w:val="1"/>
      <w:numFmt w:val="lowerRoman"/>
      <w:lvlText w:val="%3."/>
      <w:lvlJc w:val="right"/>
      <w:pPr>
        <w:tabs>
          <w:tab w:val="num" w:pos="2505"/>
        </w:tabs>
        <w:ind w:left="2505" w:hanging="180"/>
      </w:pPr>
    </w:lvl>
    <w:lvl w:ilvl="3" w:tplc="0C0C000F" w:tentative="1">
      <w:start w:val="1"/>
      <w:numFmt w:val="decimal"/>
      <w:lvlText w:val="%4."/>
      <w:lvlJc w:val="left"/>
      <w:pPr>
        <w:tabs>
          <w:tab w:val="num" w:pos="3225"/>
        </w:tabs>
        <w:ind w:left="3225" w:hanging="360"/>
      </w:pPr>
    </w:lvl>
    <w:lvl w:ilvl="4" w:tplc="0C0C0019" w:tentative="1">
      <w:start w:val="1"/>
      <w:numFmt w:val="lowerLetter"/>
      <w:lvlText w:val="%5."/>
      <w:lvlJc w:val="left"/>
      <w:pPr>
        <w:tabs>
          <w:tab w:val="num" w:pos="3945"/>
        </w:tabs>
        <w:ind w:left="3945" w:hanging="360"/>
      </w:pPr>
    </w:lvl>
    <w:lvl w:ilvl="5" w:tplc="0C0C001B" w:tentative="1">
      <w:start w:val="1"/>
      <w:numFmt w:val="lowerRoman"/>
      <w:lvlText w:val="%6."/>
      <w:lvlJc w:val="right"/>
      <w:pPr>
        <w:tabs>
          <w:tab w:val="num" w:pos="4665"/>
        </w:tabs>
        <w:ind w:left="4665" w:hanging="180"/>
      </w:pPr>
    </w:lvl>
    <w:lvl w:ilvl="6" w:tplc="0C0C000F" w:tentative="1">
      <w:start w:val="1"/>
      <w:numFmt w:val="decimal"/>
      <w:lvlText w:val="%7."/>
      <w:lvlJc w:val="left"/>
      <w:pPr>
        <w:tabs>
          <w:tab w:val="num" w:pos="5385"/>
        </w:tabs>
        <w:ind w:left="5385" w:hanging="360"/>
      </w:pPr>
    </w:lvl>
    <w:lvl w:ilvl="7" w:tplc="0C0C0019" w:tentative="1">
      <w:start w:val="1"/>
      <w:numFmt w:val="lowerLetter"/>
      <w:lvlText w:val="%8."/>
      <w:lvlJc w:val="left"/>
      <w:pPr>
        <w:tabs>
          <w:tab w:val="num" w:pos="6105"/>
        </w:tabs>
        <w:ind w:left="6105" w:hanging="360"/>
      </w:pPr>
    </w:lvl>
    <w:lvl w:ilvl="8" w:tplc="0C0C001B" w:tentative="1">
      <w:start w:val="1"/>
      <w:numFmt w:val="lowerRoman"/>
      <w:lvlText w:val="%9."/>
      <w:lvlJc w:val="right"/>
      <w:pPr>
        <w:tabs>
          <w:tab w:val="num" w:pos="6825"/>
        </w:tabs>
        <w:ind w:left="6825" w:hanging="180"/>
      </w:pPr>
    </w:lvl>
  </w:abstractNum>
  <w:abstractNum w:abstractNumId="13" w15:restartNumberingAfterBreak="0">
    <w:nsid w:val="7A6F52D0"/>
    <w:multiLevelType w:val="hybridMultilevel"/>
    <w:tmpl w:val="1EAE4D8C"/>
    <w:lvl w:ilvl="0" w:tplc="6F62753A">
      <w:start w:val="1"/>
      <w:numFmt w:val="bullet"/>
      <w:lvlText w:val=""/>
      <w:lvlJc w:val="left"/>
      <w:pPr>
        <w:ind w:left="720" w:hanging="360"/>
      </w:pPr>
      <w:rPr>
        <w:rFonts w:ascii="Symbol" w:hAnsi="Symbol" w:hint="default"/>
        <w:sz w:val="16"/>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4" w15:restartNumberingAfterBreak="0">
    <w:nsid w:val="7FE95569"/>
    <w:multiLevelType w:val="hybridMultilevel"/>
    <w:tmpl w:val="4AD064C2"/>
    <w:lvl w:ilvl="0" w:tplc="5E7AFDB2">
      <w:numFmt w:val="bullet"/>
      <w:lvlText w:val="-"/>
      <w:lvlJc w:val="left"/>
      <w:pPr>
        <w:tabs>
          <w:tab w:val="num" w:pos="1065"/>
        </w:tabs>
        <w:ind w:left="1065" w:hanging="360"/>
      </w:pPr>
      <w:rPr>
        <w:rFonts w:ascii="Times New Roman" w:eastAsia="Times New Roman" w:hAnsi="Times New Roman" w:cs="Times New Roman" w:hint="default"/>
      </w:rPr>
    </w:lvl>
    <w:lvl w:ilvl="1" w:tplc="040C0003">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num w:numId="1">
    <w:abstractNumId w:val="14"/>
  </w:num>
  <w:num w:numId="2">
    <w:abstractNumId w:val="2"/>
  </w:num>
  <w:num w:numId="3">
    <w:abstractNumId w:val="5"/>
  </w:num>
  <w:num w:numId="4">
    <w:abstractNumId w:val="6"/>
  </w:num>
  <w:num w:numId="5">
    <w:abstractNumId w:val="8"/>
  </w:num>
  <w:num w:numId="6">
    <w:abstractNumId w:val="9"/>
  </w:num>
  <w:num w:numId="7">
    <w:abstractNumId w:val="12"/>
  </w:num>
  <w:num w:numId="8">
    <w:abstractNumId w:val="10"/>
  </w:num>
  <w:num w:numId="9">
    <w:abstractNumId w:val="1"/>
  </w:num>
  <w:num w:numId="10">
    <w:abstractNumId w:val="13"/>
  </w:num>
  <w:num w:numId="11">
    <w:abstractNumId w:val="3"/>
  </w:num>
  <w:num w:numId="12">
    <w:abstractNumId w:val="7"/>
  </w:num>
  <w:num w:numId="13">
    <w:abstractNumId w:val="11"/>
  </w:num>
  <w:num w:numId="14">
    <w:abstractNumId w:val="4"/>
  </w:num>
  <w:num w:numId="1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9DA"/>
    <w:rsid w:val="0000281A"/>
    <w:rsid w:val="0000566A"/>
    <w:rsid w:val="000109FF"/>
    <w:rsid w:val="000177F0"/>
    <w:rsid w:val="00017F6B"/>
    <w:rsid w:val="00020CEA"/>
    <w:rsid w:val="0002139B"/>
    <w:rsid w:val="00024C1A"/>
    <w:rsid w:val="00026518"/>
    <w:rsid w:val="00030EDD"/>
    <w:rsid w:val="00030F90"/>
    <w:rsid w:val="00033666"/>
    <w:rsid w:val="000363D4"/>
    <w:rsid w:val="00036EFA"/>
    <w:rsid w:val="0004532C"/>
    <w:rsid w:val="000506D2"/>
    <w:rsid w:val="00050A08"/>
    <w:rsid w:val="000526E8"/>
    <w:rsid w:val="0005604D"/>
    <w:rsid w:val="00056D75"/>
    <w:rsid w:val="000621A5"/>
    <w:rsid w:val="00064BD8"/>
    <w:rsid w:val="00066544"/>
    <w:rsid w:val="00066A46"/>
    <w:rsid w:val="00077D4B"/>
    <w:rsid w:val="000801CF"/>
    <w:rsid w:val="000822AB"/>
    <w:rsid w:val="00086F57"/>
    <w:rsid w:val="00096EFC"/>
    <w:rsid w:val="000A2A8A"/>
    <w:rsid w:val="000A36A4"/>
    <w:rsid w:val="000A61A2"/>
    <w:rsid w:val="000A778B"/>
    <w:rsid w:val="000B19DC"/>
    <w:rsid w:val="000B5463"/>
    <w:rsid w:val="000B678D"/>
    <w:rsid w:val="000B7331"/>
    <w:rsid w:val="000C37C8"/>
    <w:rsid w:val="000C5C5D"/>
    <w:rsid w:val="000D05B5"/>
    <w:rsid w:val="000D1015"/>
    <w:rsid w:val="000D4BE1"/>
    <w:rsid w:val="000E03BA"/>
    <w:rsid w:val="000E0DC5"/>
    <w:rsid w:val="000E1570"/>
    <w:rsid w:val="000E5D80"/>
    <w:rsid w:val="000E7796"/>
    <w:rsid w:val="000F163B"/>
    <w:rsid w:val="000F1F07"/>
    <w:rsid w:val="000F49AC"/>
    <w:rsid w:val="000F4ADF"/>
    <w:rsid w:val="00101A16"/>
    <w:rsid w:val="001022E4"/>
    <w:rsid w:val="00103EDE"/>
    <w:rsid w:val="001047CB"/>
    <w:rsid w:val="001056D4"/>
    <w:rsid w:val="00106A76"/>
    <w:rsid w:val="0011181D"/>
    <w:rsid w:val="00112F5B"/>
    <w:rsid w:val="001233AF"/>
    <w:rsid w:val="00127C34"/>
    <w:rsid w:val="001300D5"/>
    <w:rsid w:val="001333BC"/>
    <w:rsid w:val="00134168"/>
    <w:rsid w:val="00135BDF"/>
    <w:rsid w:val="00136A6E"/>
    <w:rsid w:val="001411B8"/>
    <w:rsid w:val="00146427"/>
    <w:rsid w:val="00147A00"/>
    <w:rsid w:val="001537B4"/>
    <w:rsid w:val="00154B7E"/>
    <w:rsid w:val="00155C0B"/>
    <w:rsid w:val="0015634B"/>
    <w:rsid w:val="0015667A"/>
    <w:rsid w:val="00157283"/>
    <w:rsid w:val="001577AC"/>
    <w:rsid w:val="0016050F"/>
    <w:rsid w:val="00162CBA"/>
    <w:rsid w:val="00163F49"/>
    <w:rsid w:val="001734B3"/>
    <w:rsid w:val="00173818"/>
    <w:rsid w:val="00177284"/>
    <w:rsid w:val="00181534"/>
    <w:rsid w:val="00182157"/>
    <w:rsid w:val="001831C1"/>
    <w:rsid w:val="0018418F"/>
    <w:rsid w:val="00186722"/>
    <w:rsid w:val="001868F7"/>
    <w:rsid w:val="001871DC"/>
    <w:rsid w:val="0019517A"/>
    <w:rsid w:val="00195925"/>
    <w:rsid w:val="0019711E"/>
    <w:rsid w:val="001A31F8"/>
    <w:rsid w:val="001B3465"/>
    <w:rsid w:val="001B3A42"/>
    <w:rsid w:val="001B6B07"/>
    <w:rsid w:val="001C0A57"/>
    <w:rsid w:val="001C31B4"/>
    <w:rsid w:val="001C4327"/>
    <w:rsid w:val="001C50EA"/>
    <w:rsid w:val="001D036C"/>
    <w:rsid w:val="001D2FAE"/>
    <w:rsid w:val="001D3BC0"/>
    <w:rsid w:val="001D4DD9"/>
    <w:rsid w:val="001E060F"/>
    <w:rsid w:val="001E17F1"/>
    <w:rsid w:val="001E3DE8"/>
    <w:rsid w:val="001E6F87"/>
    <w:rsid w:val="001E751D"/>
    <w:rsid w:val="001F2701"/>
    <w:rsid w:val="001F2BD1"/>
    <w:rsid w:val="001F30EE"/>
    <w:rsid w:val="001F5817"/>
    <w:rsid w:val="001F58A6"/>
    <w:rsid w:val="00200585"/>
    <w:rsid w:val="0020103C"/>
    <w:rsid w:val="00201B8D"/>
    <w:rsid w:val="00203460"/>
    <w:rsid w:val="00203C6F"/>
    <w:rsid w:val="00205064"/>
    <w:rsid w:val="00205349"/>
    <w:rsid w:val="00205673"/>
    <w:rsid w:val="00205EC7"/>
    <w:rsid w:val="00206718"/>
    <w:rsid w:val="00207B2E"/>
    <w:rsid w:val="00210B28"/>
    <w:rsid w:val="00212745"/>
    <w:rsid w:val="00215382"/>
    <w:rsid w:val="002202FD"/>
    <w:rsid w:val="00222B4D"/>
    <w:rsid w:val="00227797"/>
    <w:rsid w:val="00232681"/>
    <w:rsid w:val="00232BA2"/>
    <w:rsid w:val="0023459D"/>
    <w:rsid w:val="00234CAC"/>
    <w:rsid w:val="00235250"/>
    <w:rsid w:val="00235923"/>
    <w:rsid w:val="00240491"/>
    <w:rsid w:val="00241D60"/>
    <w:rsid w:val="00243608"/>
    <w:rsid w:val="0024439B"/>
    <w:rsid w:val="0024511C"/>
    <w:rsid w:val="00246C00"/>
    <w:rsid w:val="00253CA6"/>
    <w:rsid w:val="00254B83"/>
    <w:rsid w:val="0025680E"/>
    <w:rsid w:val="00265DC2"/>
    <w:rsid w:val="0027341C"/>
    <w:rsid w:val="00275D94"/>
    <w:rsid w:val="0028289A"/>
    <w:rsid w:val="00284E1B"/>
    <w:rsid w:val="002879F3"/>
    <w:rsid w:val="0029063B"/>
    <w:rsid w:val="002A0265"/>
    <w:rsid w:val="002A18CC"/>
    <w:rsid w:val="002A2382"/>
    <w:rsid w:val="002A43EB"/>
    <w:rsid w:val="002A496F"/>
    <w:rsid w:val="002A738E"/>
    <w:rsid w:val="002A7E3C"/>
    <w:rsid w:val="002B45C7"/>
    <w:rsid w:val="002B57B4"/>
    <w:rsid w:val="002B59FF"/>
    <w:rsid w:val="002C54F8"/>
    <w:rsid w:val="002D30BB"/>
    <w:rsid w:val="002D3411"/>
    <w:rsid w:val="002D410E"/>
    <w:rsid w:val="002D4A5A"/>
    <w:rsid w:val="002D6EBD"/>
    <w:rsid w:val="002E26C9"/>
    <w:rsid w:val="002E4148"/>
    <w:rsid w:val="002E60DA"/>
    <w:rsid w:val="002F13CE"/>
    <w:rsid w:val="002F3FBE"/>
    <w:rsid w:val="002F41DE"/>
    <w:rsid w:val="002F41E4"/>
    <w:rsid w:val="002F62E7"/>
    <w:rsid w:val="002F7225"/>
    <w:rsid w:val="00300A3A"/>
    <w:rsid w:val="00301732"/>
    <w:rsid w:val="00301B75"/>
    <w:rsid w:val="00307003"/>
    <w:rsid w:val="00313001"/>
    <w:rsid w:val="0031375E"/>
    <w:rsid w:val="003151CD"/>
    <w:rsid w:val="00316327"/>
    <w:rsid w:val="00316904"/>
    <w:rsid w:val="0031774E"/>
    <w:rsid w:val="00323B75"/>
    <w:rsid w:val="00326700"/>
    <w:rsid w:val="00327DC8"/>
    <w:rsid w:val="00332128"/>
    <w:rsid w:val="00333EAC"/>
    <w:rsid w:val="0033480E"/>
    <w:rsid w:val="00335062"/>
    <w:rsid w:val="00335742"/>
    <w:rsid w:val="0034038F"/>
    <w:rsid w:val="00341509"/>
    <w:rsid w:val="00341AE1"/>
    <w:rsid w:val="00341C6C"/>
    <w:rsid w:val="00342500"/>
    <w:rsid w:val="00342FDD"/>
    <w:rsid w:val="00344464"/>
    <w:rsid w:val="00345039"/>
    <w:rsid w:val="00353123"/>
    <w:rsid w:val="003539BB"/>
    <w:rsid w:val="0036081E"/>
    <w:rsid w:val="00361B94"/>
    <w:rsid w:val="00361E50"/>
    <w:rsid w:val="00366AA2"/>
    <w:rsid w:val="003700B2"/>
    <w:rsid w:val="0037144D"/>
    <w:rsid w:val="00372A95"/>
    <w:rsid w:val="00372DB2"/>
    <w:rsid w:val="003735AB"/>
    <w:rsid w:val="00374D44"/>
    <w:rsid w:val="00375663"/>
    <w:rsid w:val="00390B7B"/>
    <w:rsid w:val="00391622"/>
    <w:rsid w:val="0039268A"/>
    <w:rsid w:val="00394C15"/>
    <w:rsid w:val="003958D9"/>
    <w:rsid w:val="00397049"/>
    <w:rsid w:val="00397DE1"/>
    <w:rsid w:val="003A0EC0"/>
    <w:rsid w:val="003A26C4"/>
    <w:rsid w:val="003A34A0"/>
    <w:rsid w:val="003A4078"/>
    <w:rsid w:val="003A6837"/>
    <w:rsid w:val="003B4059"/>
    <w:rsid w:val="003B50CB"/>
    <w:rsid w:val="003B5F7F"/>
    <w:rsid w:val="003C0044"/>
    <w:rsid w:val="003C188B"/>
    <w:rsid w:val="003C3F29"/>
    <w:rsid w:val="003C4379"/>
    <w:rsid w:val="003C629C"/>
    <w:rsid w:val="003C7F92"/>
    <w:rsid w:val="003D1F3B"/>
    <w:rsid w:val="003D6526"/>
    <w:rsid w:val="003D75B5"/>
    <w:rsid w:val="003E2132"/>
    <w:rsid w:val="003E62C0"/>
    <w:rsid w:val="003F5E09"/>
    <w:rsid w:val="003F7251"/>
    <w:rsid w:val="00400796"/>
    <w:rsid w:val="0040224C"/>
    <w:rsid w:val="004050A3"/>
    <w:rsid w:val="004128B9"/>
    <w:rsid w:val="00413FD4"/>
    <w:rsid w:val="00414F09"/>
    <w:rsid w:val="0042010C"/>
    <w:rsid w:val="004219D3"/>
    <w:rsid w:val="00421E49"/>
    <w:rsid w:val="00421E51"/>
    <w:rsid w:val="00422884"/>
    <w:rsid w:val="0042343F"/>
    <w:rsid w:val="00424734"/>
    <w:rsid w:val="00425238"/>
    <w:rsid w:val="00425636"/>
    <w:rsid w:val="00427567"/>
    <w:rsid w:val="0043044F"/>
    <w:rsid w:val="00431F6B"/>
    <w:rsid w:val="00432C32"/>
    <w:rsid w:val="004335D8"/>
    <w:rsid w:val="00434195"/>
    <w:rsid w:val="0043563C"/>
    <w:rsid w:val="004359BA"/>
    <w:rsid w:val="00437D0D"/>
    <w:rsid w:val="00440AA3"/>
    <w:rsid w:val="004413D5"/>
    <w:rsid w:val="00441B27"/>
    <w:rsid w:val="00445310"/>
    <w:rsid w:val="00446159"/>
    <w:rsid w:val="004568AB"/>
    <w:rsid w:val="00456969"/>
    <w:rsid w:val="00456A4D"/>
    <w:rsid w:val="004609D8"/>
    <w:rsid w:val="004650D7"/>
    <w:rsid w:val="00465C9D"/>
    <w:rsid w:val="004702A0"/>
    <w:rsid w:val="00476BDC"/>
    <w:rsid w:val="00481906"/>
    <w:rsid w:val="00482855"/>
    <w:rsid w:val="00482D6C"/>
    <w:rsid w:val="0048303E"/>
    <w:rsid w:val="00483781"/>
    <w:rsid w:val="00486C8A"/>
    <w:rsid w:val="00487026"/>
    <w:rsid w:val="00490545"/>
    <w:rsid w:val="004924BC"/>
    <w:rsid w:val="00493967"/>
    <w:rsid w:val="00496812"/>
    <w:rsid w:val="004A018F"/>
    <w:rsid w:val="004A0638"/>
    <w:rsid w:val="004A3587"/>
    <w:rsid w:val="004B24A6"/>
    <w:rsid w:val="004B2D26"/>
    <w:rsid w:val="004B454A"/>
    <w:rsid w:val="004B4BCB"/>
    <w:rsid w:val="004B77ED"/>
    <w:rsid w:val="004C1E0E"/>
    <w:rsid w:val="004C3553"/>
    <w:rsid w:val="004C358B"/>
    <w:rsid w:val="004C65D6"/>
    <w:rsid w:val="004C698F"/>
    <w:rsid w:val="004C739F"/>
    <w:rsid w:val="004D03E3"/>
    <w:rsid w:val="004D05F5"/>
    <w:rsid w:val="004D1CED"/>
    <w:rsid w:val="004D2482"/>
    <w:rsid w:val="004D2A54"/>
    <w:rsid w:val="004D5B64"/>
    <w:rsid w:val="004D62ED"/>
    <w:rsid w:val="004E2797"/>
    <w:rsid w:val="004E5FE0"/>
    <w:rsid w:val="004E78A9"/>
    <w:rsid w:val="004F0D35"/>
    <w:rsid w:val="004F408E"/>
    <w:rsid w:val="004F5B19"/>
    <w:rsid w:val="004F7731"/>
    <w:rsid w:val="00507EF8"/>
    <w:rsid w:val="0051086B"/>
    <w:rsid w:val="00520D09"/>
    <w:rsid w:val="005219DA"/>
    <w:rsid w:val="0052720D"/>
    <w:rsid w:val="00530556"/>
    <w:rsid w:val="005331AB"/>
    <w:rsid w:val="00533303"/>
    <w:rsid w:val="00534820"/>
    <w:rsid w:val="005403EC"/>
    <w:rsid w:val="00540F05"/>
    <w:rsid w:val="00541162"/>
    <w:rsid w:val="00541353"/>
    <w:rsid w:val="005435CD"/>
    <w:rsid w:val="0054381E"/>
    <w:rsid w:val="005452F8"/>
    <w:rsid w:val="00547BF4"/>
    <w:rsid w:val="00547F0C"/>
    <w:rsid w:val="00550BA8"/>
    <w:rsid w:val="005529EF"/>
    <w:rsid w:val="00557DDD"/>
    <w:rsid w:val="0056022C"/>
    <w:rsid w:val="005641AF"/>
    <w:rsid w:val="00564DFD"/>
    <w:rsid w:val="00570EBA"/>
    <w:rsid w:val="00573396"/>
    <w:rsid w:val="00573F95"/>
    <w:rsid w:val="0057587A"/>
    <w:rsid w:val="00580B68"/>
    <w:rsid w:val="005839F8"/>
    <w:rsid w:val="005848E7"/>
    <w:rsid w:val="00585178"/>
    <w:rsid w:val="00586B0F"/>
    <w:rsid w:val="005902EF"/>
    <w:rsid w:val="00592322"/>
    <w:rsid w:val="005967EC"/>
    <w:rsid w:val="005A0104"/>
    <w:rsid w:val="005A2AA0"/>
    <w:rsid w:val="005A3D8E"/>
    <w:rsid w:val="005A45BE"/>
    <w:rsid w:val="005A4CF3"/>
    <w:rsid w:val="005B2D1C"/>
    <w:rsid w:val="005B41DC"/>
    <w:rsid w:val="005B4386"/>
    <w:rsid w:val="005B476F"/>
    <w:rsid w:val="005B5B34"/>
    <w:rsid w:val="005B6EBA"/>
    <w:rsid w:val="005C226C"/>
    <w:rsid w:val="005C3EB2"/>
    <w:rsid w:val="005D1C02"/>
    <w:rsid w:val="005D2843"/>
    <w:rsid w:val="005D32AF"/>
    <w:rsid w:val="005D346F"/>
    <w:rsid w:val="005D3FB3"/>
    <w:rsid w:val="005D3FEF"/>
    <w:rsid w:val="005D496F"/>
    <w:rsid w:val="005D6517"/>
    <w:rsid w:val="005D6CE8"/>
    <w:rsid w:val="005E6D3A"/>
    <w:rsid w:val="005E7BA0"/>
    <w:rsid w:val="005F2524"/>
    <w:rsid w:val="005F3F34"/>
    <w:rsid w:val="005F45C0"/>
    <w:rsid w:val="005F6422"/>
    <w:rsid w:val="00603A76"/>
    <w:rsid w:val="006056BA"/>
    <w:rsid w:val="00606400"/>
    <w:rsid w:val="00607E9E"/>
    <w:rsid w:val="006102E1"/>
    <w:rsid w:val="00610E5C"/>
    <w:rsid w:val="006123B1"/>
    <w:rsid w:val="00621012"/>
    <w:rsid w:val="006223B7"/>
    <w:rsid w:val="00622D16"/>
    <w:rsid w:val="006252A5"/>
    <w:rsid w:val="00627A25"/>
    <w:rsid w:val="00630B91"/>
    <w:rsid w:val="00631878"/>
    <w:rsid w:val="00631973"/>
    <w:rsid w:val="00635340"/>
    <w:rsid w:val="00640B91"/>
    <w:rsid w:val="00641BA8"/>
    <w:rsid w:val="00642C27"/>
    <w:rsid w:val="006467C6"/>
    <w:rsid w:val="00652B09"/>
    <w:rsid w:val="00653BAF"/>
    <w:rsid w:val="006543E1"/>
    <w:rsid w:val="0066142D"/>
    <w:rsid w:val="006616BB"/>
    <w:rsid w:val="00662266"/>
    <w:rsid w:val="00662F48"/>
    <w:rsid w:val="006634CC"/>
    <w:rsid w:val="00663D94"/>
    <w:rsid w:val="006646E4"/>
    <w:rsid w:val="006651FE"/>
    <w:rsid w:val="00665436"/>
    <w:rsid w:val="0066670F"/>
    <w:rsid w:val="00675799"/>
    <w:rsid w:val="00676867"/>
    <w:rsid w:val="00677916"/>
    <w:rsid w:val="00681653"/>
    <w:rsid w:val="006836A0"/>
    <w:rsid w:val="00685245"/>
    <w:rsid w:val="00686D1B"/>
    <w:rsid w:val="00687528"/>
    <w:rsid w:val="006904AB"/>
    <w:rsid w:val="00691F1B"/>
    <w:rsid w:val="006922FD"/>
    <w:rsid w:val="00695C10"/>
    <w:rsid w:val="00696E6A"/>
    <w:rsid w:val="00696E9D"/>
    <w:rsid w:val="006A362E"/>
    <w:rsid w:val="006A4F59"/>
    <w:rsid w:val="006A5A77"/>
    <w:rsid w:val="006B0162"/>
    <w:rsid w:val="006B323E"/>
    <w:rsid w:val="006B367A"/>
    <w:rsid w:val="006B4864"/>
    <w:rsid w:val="006B4E53"/>
    <w:rsid w:val="006B58A1"/>
    <w:rsid w:val="006C105A"/>
    <w:rsid w:val="006C6AC7"/>
    <w:rsid w:val="006C6B0D"/>
    <w:rsid w:val="006C6E48"/>
    <w:rsid w:val="006C7897"/>
    <w:rsid w:val="006D0B5B"/>
    <w:rsid w:val="006D6860"/>
    <w:rsid w:val="006D6AEA"/>
    <w:rsid w:val="006D7551"/>
    <w:rsid w:val="006E0939"/>
    <w:rsid w:val="006E15AE"/>
    <w:rsid w:val="006E248F"/>
    <w:rsid w:val="006E3315"/>
    <w:rsid w:val="006E557E"/>
    <w:rsid w:val="006E5ACE"/>
    <w:rsid w:val="006E5DE1"/>
    <w:rsid w:val="006E752B"/>
    <w:rsid w:val="006F2670"/>
    <w:rsid w:val="006F4184"/>
    <w:rsid w:val="006F68DD"/>
    <w:rsid w:val="0070126C"/>
    <w:rsid w:val="0070141E"/>
    <w:rsid w:val="00701AE0"/>
    <w:rsid w:val="00701CB1"/>
    <w:rsid w:val="00705B9A"/>
    <w:rsid w:val="00707CCD"/>
    <w:rsid w:val="00707D63"/>
    <w:rsid w:val="00712C09"/>
    <w:rsid w:val="00712EAB"/>
    <w:rsid w:val="007156EA"/>
    <w:rsid w:val="00721683"/>
    <w:rsid w:val="0072401C"/>
    <w:rsid w:val="00730887"/>
    <w:rsid w:val="0073089A"/>
    <w:rsid w:val="00733360"/>
    <w:rsid w:val="0073406D"/>
    <w:rsid w:val="0074057D"/>
    <w:rsid w:val="007408FB"/>
    <w:rsid w:val="007474AA"/>
    <w:rsid w:val="00753B3A"/>
    <w:rsid w:val="007550C7"/>
    <w:rsid w:val="00756751"/>
    <w:rsid w:val="007571B8"/>
    <w:rsid w:val="007600A6"/>
    <w:rsid w:val="0076223E"/>
    <w:rsid w:val="007627AF"/>
    <w:rsid w:val="00762B6F"/>
    <w:rsid w:val="00763431"/>
    <w:rsid w:val="00770170"/>
    <w:rsid w:val="007702BB"/>
    <w:rsid w:val="007708DD"/>
    <w:rsid w:val="0077206D"/>
    <w:rsid w:val="00772CA6"/>
    <w:rsid w:val="00776C04"/>
    <w:rsid w:val="007771A1"/>
    <w:rsid w:val="00781BDA"/>
    <w:rsid w:val="0079232A"/>
    <w:rsid w:val="00792375"/>
    <w:rsid w:val="00795F7D"/>
    <w:rsid w:val="00797145"/>
    <w:rsid w:val="007A0B6E"/>
    <w:rsid w:val="007A0C7E"/>
    <w:rsid w:val="007A5F9B"/>
    <w:rsid w:val="007A7D01"/>
    <w:rsid w:val="007B0E50"/>
    <w:rsid w:val="007B2E47"/>
    <w:rsid w:val="007B3847"/>
    <w:rsid w:val="007B4106"/>
    <w:rsid w:val="007B4F26"/>
    <w:rsid w:val="007C4770"/>
    <w:rsid w:val="007C75F4"/>
    <w:rsid w:val="007C7CAE"/>
    <w:rsid w:val="007D075A"/>
    <w:rsid w:val="007D0AE1"/>
    <w:rsid w:val="007D1BEC"/>
    <w:rsid w:val="007D2C2E"/>
    <w:rsid w:val="007E427C"/>
    <w:rsid w:val="007E7632"/>
    <w:rsid w:val="007F19FF"/>
    <w:rsid w:val="007F1A28"/>
    <w:rsid w:val="007F5F4D"/>
    <w:rsid w:val="00800FAC"/>
    <w:rsid w:val="008041E1"/>
    <w:rsid w:val="00804FF8"/>
    <w:rsid w:val="008065EB"/>
    <w:rsid w:val="008075BB"/>
    <w:rsid w:val="00812539"/>
    <w:rsid w:val="00812AA4"/>
    <w:rsid w:val="00815AAC"/>
    <w:rsid w:val="008172D9"/>
    <w:rsid w:val="00817646"/>
    <w:rsid w:val="00820161"/>
    <w:rsid w:val="00824772"/>
    <w:rsid w:val="008267EB"/>
    <w:rsid w:val="00832DA0"/>
    <w:rsid w:val="008333F1"/>
    <w:rsid w:val="00834B9A"/>
    <w:rsid w:val="008372EB"/>
    <w:rsid w:val="0084205D"/>
    <w:rsid w:val="00842891"/>
    <w:rsid w:val="00843277"/>
    <w:rsid w:val="00843D4A"/>
    <w:rsid w:val="00846F1F"/>
    <w:rsid w:val="00847808"/>
    <w:rsid w:val="00852A94"/>
    <w:rsid w:val="008532F2"/>
    <w:rsid w:val="00855E6C"/>
    <w:rsid w:val="00861D65"/>
    <w:rsid w:val="00862C53"/>
    <w:rsid w:val="00866EE9"/>
    <w:rsid w:val="0087390B"/>
    <w:rsid w:val="00875A25"/>
    <w:rsid w:val="00876458"/>
    <w:rsid w:val="008804B9"/>
    <w:rsid w:val="008806DF"/>
    <w:rsid w:val="00881B76"/>
    <w:rsid w:val="00882841"/>
    <w:rsid w:val="00884413"/>
    <w:rsid w:val="008877BF"/>
    <w:rsid w:val="0089410F"/>
    <w:rsid w:val="00894897"/>
    <w:rsid w:val="0089677D"/>
    <w:rsid w:val="008A0DFF"/>
    <w:rsid w:val="008A2451"/>
    <w:rsid w:val="008A3529"/>
    <w:rsid w:val="008A3B56"/>
    <w:rsid w:val="008A5CAD"/>
    <w:rsid w:val="008A7AC9"/>
    <w:rsid w:val="008B198E"/>
    <w:rsid w:val="008B22CB"/>
    <w:rsid w:val="008B3C11"/>
    <w:rsid w:val="008B544D"/>
    <w:rsid w:val="008B57AD"/>
    <w:rsid w:val="008B6DD7"/>
    <w:rsid w:val="008C03F7"/>
    <w:rsid w:val="008C4C95"/>
    <w:rsid w:val="008C7941"/>
    <w:rsid w:val="008C7AB5"/>
    <w:rsid w:val="008D0541"/>
    <w:rsid w:val="008D327D"/>
    <w:rsid w:val="008D4A62"/>
    <w:rsid w:val="008D5D5C"/>
    <w:rsid w:val="008D650A"/>
    <w:rsid w:val="008D6529"/>
    <w:rsid w:val="008D79A4"/>
    <w:rsid w:val="008D7DFB"/>
    <w:rsid w:val="008E27EF"/>
    <w:rsid w:val="008E28F8"/>
    <w:rsid w:val="008E3797"/>
    <w:rsid w:val="008E3F06"/>
    <w:rsid w:val="008F1157"/>
    <w:rsid w:val="008F336F"/>
    <w:rsid w:val="008F6C70"/>
    <w:rsid w:val="008F7616"/>
    <w:rsid w:val="00900FCE"/>
    <w:rsid w:val="00903518"/>
    <w:rsid w:val="009036CC"/>
    <w:rsid w:val="00904E9A"/>
    <w:rsid w:val="00911E51"/>
    <w:rsid w:val="009134E8"/>
    <w:rsid w:val="00914E88"/>
    <w:rsid w:val="0091772E"/>
    <w:rsid w:val="00923342"/>
    <w:rsid w:val="00923A74"/>
    <w:rsid w:val="009250F1"/>
    <w:rsid w:val="00926F63"/>
    <w:rsid w:val="009278A9"/>
    <w:rsid w:val="00931DC6"/>
    <w:rsid w:val="009326C8"/>
    <w:rsid w:val="00936ED5"/>
    <w:rsid w:val="009407A9"/>
    <w:rsid w:val="00942290"/>
    <w:rsid w:val="00945AA8"/>
    <w:rsid w:val="00945AFE"/>
    <w:rsid w:val="0094606A"/>
    <w:rsid w:val="00952AFC"/>
    <w:rsid w:val="00953061"/>
    <w:rsid w:val="009553B5"/>
    <w:rsid w:val="00955A66"/>
    <w:rsid w:val="00957FB5"/>
    <w:rsid w:val="00963BAF"/>
    <w:rsid w:val="00964485"/>
    <w:rsid w:val="00965735"/>
    <w:rsid w:val="00970C34"/>
    <w:rsid w:val="00971621"/>
    <w:rsid w:val="00975F68"/>
    <w:rsid w:val="00977CC1"/>
    <w:rsid w:val="00982B75"/>
    <w:rsid w:val="00983709"/>
    <w:rsid w:val="00984998"/>
    <w:rsid w:val="00987782"/>
    <w:rsid w:val="00991C78"/>
    <w:rsid w:val="00993332"/>
    <w:rsid w:val="00994E90"/>
    <w:rsid w:val="009A1D1D"/>
    <w:rsid w:val="009A40A4"/>
    <w:rsid w:val="009A4BF9"/>
    <w:rsid w:val="009A7E8E"/>
    <w:rsid w:val="009B3641"/>
    <w:rsid w:val="009B5685"/>
    <w:rsid w:val="009B7D75"/>
    <w:rsid w:val="009B7DD8"/>
    <w:rsid w:val="009C270F"/>
    <w:rsid w:val="009C7222"/>
    <w:rsid w:val="009C7BC9"/>
    <w:rsid w:val="009D0CBE"/>
    <w:rsid w:val="009D51B1"/>
    <w:rsid w:val="009D6459"/>
    <w:rsid w:val="009E3127"/>
    <w:rsid w:val="009E41BF"/>
    <w:rsid w:val="009E48F0"/>
    <w:rsid w:val="009F2079"/>
    <w:rsid w:val="009F34BC"/>
    <w:rsid w:val="00A01E14"/>
    <w:rsid w:val="00A020AB"/>
    <w:rsid w:val="00A02D06"/>
    <w:rsid w:val="00A02F1E"/>
    <w:rsid w:val="00A03F34"/>
    <w:rsid w:val="00A064BE"/>
    <w:rsid w:val="00A11B6C"/>
    <w:rsid w:val="00A138F9"/>
    <w:rsid w:val="00A139CF"/>
    <w:rsid w:val="00A164ED"/>
    <w:rsid w:val="00A20403"/>
    <w:rsid w:val="00A24750"/>
    <w:rsid w:val="00A26D1D"/>
    <w:rsid w:val="00A275FB"/>
    <w:rsid w:val="00A2761C"/>
    <w:rsid w:val="00A3146C"/>
    <w:rsid w:val="00A345D4"/>
    <w:rsid w:val="00A34600"/>
    <w:rsid w:val="00A34B68"/>
    <w:rsid w:val="00A3587D"/>
    <w:rsid w:val="00A35A60"/>
    <w:rsid w:val="00A4133F"/>
    <w:rsid w:val="00A4242C"/>
    <w:rsid w:val="00A43117"/>
    <w:rsid w:val="00A459B8"/>
    <w:rsid w:val="00A461D9"/>
    <w:rsid w:val="00A46666"/>
    <w:rsid w:val="00A51908"/>
    <w:rsid w:val="00A53D90"/>
    <w:rsid w:val="00A53F7F"/>
    <w:rsid w:val="00A54EF2"/>
    <w:rsid w:val="00A5633C"/>
    <w:rsid w:val="00A5685D"/>
    <w:rsid w:val="00A57630"/>
    <w:rsid w:val="00A60DC3"/>
    <w:rsid w:val="00A61ED2"/>
    <w:rsid w:val="00A63EFC"/>
    <w:rsid w:val="00A660CA"/>
    <w:rsid w:val="00A70717"/>
    <w:rsid w:val="00A73ED0"/>
    <w:rsid w:val="00A74518"/>
    <w:rsid w:val="00A74683"/>
    <w:rsid w:val="00A75DA0"/>
    <w:rsid w:val="00A76F11"/>
    <w:rsid w:val="00A81758"/>
    <w:rsid w:val="00A820FD"/>
    <w:rsid w:val="00A83658"/>
    <w:rsid w:val="00A840C4"/>
    <w:rsid w:val="00A85B34"/>
    <w:rsid w:val="00A861B2"/>
    <w:rsid w:val="00A878DB"/>
    <w:rsid w:val="00A90A9C"/>
    <w:rsid w:val="00A92376"/>
    <w:rsid w:val="00A92700"/>
    <w:rsid w:val="00A96985"/>
    <w:rsid w:val="00A96E7F"/>
    <w:rsid w:val="00A97AB6"/>
    <w:rsid w:val="00AA0D0B"/>
    <w:rsid w:val="00AA39F9"/>
    <w:rsid w:val="00AA6B28"/>
    <w:rsid w:val="00AA7843"/>
    <w:rsid w:val="00AB5AB7"/>
    <w:rsid w:val="00AC0932"/>
    <w:rsid w:val="00AC168D"/>
    <w:rsid w:val="00AC1699"/>
    <w:rsid w:val="00AC181B"/>
    <w:rsid w:val="00AC2C2F"/>
    <w:rsid w:val="00AC3BB9"/>
    <w:rsid w:val="00AC6748"/>
    <w:rsid w:val="00AC6ADB"/>
    <w:rsid w:val="00AC723E"/>
    <w:rsid w:val="00AC7904"/>
    <w:rsid w:val="00AC7E36"/>
    <w:rsid w:val="00AD0502"/>
    <w:rsid w:val="00AD0700"/>
    <w:rsid w:val="00AD16DF"/>
    <w:rsid w:val="00AD27AF"/>
    <w:rsid w:val="00AD3127"/>
    <w:rsid w:val="00AD3682"/>
    <w:rsid w:val="00AD4588"/>
    <w:rsid w:val="00AD531D"/>
    <w:rsid w:val="00AD5509"/>
    <w:rsid w:val="00AD6655"/>
    <w:rsid w:val="00AD6F56"/>
    <w:rsid w:val="00AE1675"/>
    <w:rsid w:val="00AE4BE5"/>
    <w:rsid w:val="00AF3946"/>
    <w:rsid w:val="00AF40B5"/>
    <w:rsid w:val="00AF67BD"/>
    <w:rsid w:val="00B0283B"/>
    <w:rsid w:val="00B060E2"/>
    <w:rsid w:val="00B07C5A"/>
    <w:rsid w:val="00B12139"/>
    <w:rsid w:val="00B125C4"/>
    <w:rsid w:val="00B130B0"/>
    <w:rsid w:val="00B2279F"/>
    <w:rsid w:val="00B23DDF"/>
    <w:rsid w:val="00B26578"/>
    <w:rsid w:val="00B2773B"/>
    <w:rsid w:val="00B30FB0"/>
    <w:rsid w:val="00B312C3"/>
    <w:rsid w:val="00B31398"/>
    <w:rsid w:val="00B32B67"/>
    <w:rsid w:val="00B335D2"/>
    <w:rsid w:val="00B361E6"/>
    <w:rsid w:val="00B40D45"/>
    <w:rsid w:val="00B40EB6"/>
    <w:rsid w:val="00B43CED"/>
    <w:rsid w:val="00B514D9"/>
    <w:rsid w:val="00B51F1A"/>
    <w:rsid w:val="00B52360"/>
    <w:rsid w:val="00B541E1"/>
    <w:rsid w:val="00B56008"/>
    <w:rsid w:val="00B56D47"/>
    <w:rsid w:val="00B60363"/>
    <w:rsid w:val="00B6164B"/>
    <w:rsid w:val="00B620F6"/>
    <w:rsid w:val="00B63E86"/>
    <w:rsid w:val="00B704D5"/>
    <w:rsid w:val="00B821F8"/>
    <w:rsid w:val="00B82597"/>
    <w:rsid w:val="00B8382E"/>
    <w:rsid w:val="00B87E42"/>
    <w:rsid w:val="00B93A39"/>
    <w:rsid w:val="00B95DB3"/>
    <w:rsid w:val="00B961E4"/>
    <w:rsid w:val="00B9737C"/>
    <w:rsid w:val="00B97B04"/>
    <w:rsid w:val="00BA4F81"/>
    <w:rsid w:val="00BA6862"/>
    <w:rsid w:val="00BB01AB"/>
    <w:rsid w:val="00BB025A"/>
    <w:rsid w:val="00BB1A46"/>
    <w:rsid w:val="00BB2143"/>
    <w:rsid w:val="00BB6077"/>
    <w:rsid w:val="00BB6C41"/>
    <w:rsid w:val="00BC1176"/>
    <w:rsid w:val="00BC1ADE"/>
    <w:rsid w:val="00BC32B5"/>
    <w:rsid w:val="00BC3A3B"/>
    <w:rsid w:val="00BC6556"/>
    <w:rsid w:val="00BD4E8E"/>
    <w:rsid w:val="00BD5056"/>
    <w:rsid w:val="00BD50A8"/>
    <w:rsid w:val="00BD5CE8"/>
    <w:rsid w:val="00BD638D"/>
    <w:rsid w:val="00BD7551"/>
    <w:rsid w:val="00BE16A6"/>
    <w:rsid w:val="00BF01C6"/>
    <w:rsid w:val="00BF17DC"/>
    <w:rsid w:val="00BF6455"/>
    <w:rsid w:val="00BF7371"/>
    <w:rsid w:val="00BF7973"/>
    <w:rsid w:val="00BF7E15"/>
    <w:rsid w:val="00C004B1"/>
    <w:rsid w:val="00C03BB4"/>
    <w:rsid w:val="00C0756D"/>
    <w:rsid w:val="00C120E5"/>
    <w:rsid w:val="00C12E8A"/>
    <w:rsid w:val="00C13776"/>
    <w:rsid w:val="00C13948"/>
    <w:rsid w:val="00C15167"/>
    <w:rsid w:val="00C20A70"/>
    <w:rsid w:val="00C32D65"/>
    <w:rsid w:val="00C34D0A"/>
    <w:rsid w:val="00C35647"/>
    <w:rsid w:val="00C3763C"/>
    <w:rsid w:val="00C414D4"/>
    <w:rsid w:val="00C4342C"/>
    <w:rsid w:val="00C46808"/>
    <w:rsid w:val="00C47C7E"/>
    <w:rsid w:val="00C5085D"/>
    <w:rsid w:val="00C52187"/>
    <w:rsid w:val="00C52DCA"/>
    <w:rsid w:val="00C56218"/>
    <w:rsid w:val="00C641A6"/>
    <w:rsid w:val="00C6436B"/>
    <w:rsid w:val="00C64F1D"/>
    <w:rsid w:val="00C65316"/>
    <w:rsid w:val="00C66F0A"/>
    <w:rsid w:val="00C75919"/>
    <w:rsid w:val="00C81B40"/>
    <w:rsid w:val="00C8513F"/>
    <w:rsid w:val="00C85882"/>
    <w:rsid w:val="00C8607C"/>
    <w:rsid w:val="00C9335C"/>
    <w:rsid w:val="00CA2072"/>
    <w:rsid w:val="00CA3FA8"/>
    <w:rsid w:val="00CA4D5A"/>
    <w:rsid w:val="00CB006D"/>
    <w:rsid w:val="00CB1207"/>
    <w:rsid w:val="00CB413A"/>
    <w:rsid w:val="00CB7787"/>
    <w:rsid w:val="00CC0BDD"/>
    <w:rsid w:val="00CC2D5D"/>
    <w:rsid w:val="00CC6065"/>
    <w:rsid w:val="00CD0D3C"/>
    <w:rsid w:val="00CE0147"/>
    <w:rsid w:val="00CE4AB7"/>
    <w:rsid w:val="00CE5299"/>
    <w:rsid w:val="00CE5D73"/>
    <w:rsid w:val="00CE7AA3"/>
    <w:rsid w:val="00CF18D3"/>
    <w:rsid w:val="00CF1DDE"/>
    <w:rsid w:val="00CF2435"/>
    <w:rsid w:val="00CF47DF"/>
    <w:rsid w:val="00CF7DD2"/>
    <w:rsid w:val="00D0250D"/>
    <w:rsid w:val="00D02704"/>
    <w:rsid w:val="00D05ACD"/>
    <w:rsid w:val="00D05D3B"/>
    <w:rsid w:val="00D071F5"/>
    <w:rsid w:val="00D113A7"/>
    <w:rsid w:val="00D134FA"/>
    <w:rsid w:val="00D16AA5"/>
    <w:rsid w:val="00D200F6"/>
    <w:rsid w:val="00D220E6"/>
    <w:rsid w:val="00D312E7"/>
    <w:rsid w:val="00D315E5"/>
    <w:rsid w:val="00D325FA"/>
    <w:rsid w:val="00D3375D"/>
    <w:rsid w:val="00D34D17"/>
    <w:rsid w:val="00D3552B"/>
    <w:rsid w:val="00D35F6C"/>
    <w:rsid w:val="00D36967"/>
    <w:rsid w:val="00D42D72"/>
    <w:rsid w:val="00D45592"/>
    <w:rsid w:val="00D51671"/>
    <w:rsid w:val="00D51D41"/>
    <w:rsid w:val="00D56850"/>
    <w:rsid w:val="00D70D49"/>
    <w:rsid w:val="00D70FA9"/>
    <w:rsid w:val="00D7413E"/>
    <w:rsid w:val="00D74EED"/>
    <w:rsid w:val="00D7715B"/>
    <w:rsid w:val="00D80BEF"/>
    <w:rsid w:val="00D84A03"/>
    <w:rsid w:val="00D84BFE"/>
    <w:rsid w:val="00D86801"/>
    <w:rsid w:val="00D90752"/>
    <w:rsid w:val="00D90AFC"/>
    <w:rsid w:val="00D91AFD"/>
    <w:rsid w:val="00D92892"/>
    <w:rsid w:val="00DA0A6C"/>
    <w:rsid w:val="00DA0F78"/>
    <w:rsid w:val="00DA6233"/>
    <w:rsid w:val="00DB207A"/>
    <w:rsid w:val="00DB23E4"/>
    <w:rsid w:val="00DB34A9"/>
    <w:rsid w:val="00DB3CA7"/>
    <w:rsid w:val="00DB3FB8"/>
    <w:rsid w:val="00DB55E4"/>
    <w:rsid w:val="00DB6FA8"/>
    <w:rsid w:val="00DB78FB"/>
    <w:rsid w:val="00DC18A7"/>
    <w:rsid w:val="00DC2371"/>
    <w:rsid w:val="00DC33F9"/>
    <w:rsid w:val="00DC3512"/>
    <w:rsid w:val="00DC44DB"/>
    <w:rsid w:val="00DC66E3"/>
    <w:rsid w:val="00DD0413"/>
    <w:rsid w:val="00DD356C"/>
    <w:rsid w:val="00DD4798"/>
    <w:rsid w:val="00DD4FE1"/>
    <w:rsid w:val="00DD669F"/>
    <w:rsid w:val="00DE1DD4"/>
    <w:rsid w:val="00DE56C1"/>
    <w:rsid w:val="00DE5A0A"/>
    <w:rsid w:val="00DE5D3E"/>
    <w:rsid w:val="00DE6DC2"/>
    <w:rsid w:val="00DF0905"/>
    <w:rsid w:val="00DF31C0"/>
    <w:rsid w:val="00E007F8"/>
    <w:rsid w:val="00E00BC1"/>
    <w:rsid w:val="00E037FE"/>
    <w:rsid w:val="00E06477"/>
    <w:rsid w:val="00E07CAA"/>
    <w:rsid w:val="00E10365"/>
    <w:rsid w:val="00E105E7"/>
    <w:rsid w:val="00E11B74"/>
    <w:rsid w:val="00E1665D"/>
    <w:rsid w:val="00E170F1"/>
    <w:rsid w:val="00E22F4A"/>
    <w:rsid w:val="00E234D0"/>
    <w:rsid w:val="00E23AF9"/>
    <w:rsid w:val="00E2597E"/>
    <w:rsid w:val="00E272A0"/>
    <w:rsid w:val="00E27EF1"/>
    <w:rsid w:val="00E27FE4"/>
    <w:rsid w:val="00E30F8A"/>
    <w:rsid w:val="00E43C61"/>
    <w:rsid w:val="00E50933"/>
    <w:rsid w:val="00E51122"/>
    <w:rsid w:val="00E51CE7"/>
    <w:rsid w:val="00E544F6"/>
    <w:rsid w:val="00E578A5"/>
    <w:rsid w:val="00E62CD3"/>
    <w:rsid w:val="00E67905"/>
    <w:rsid w:val="00E7077B"/>
    <w:rsid w:val="00E76A2B"/>
    <w:rsid w:val="00E7791C"/>
    <w:rsid w:val="00E8193B"/>
    <w:rsid w:val="00E85792"/>
    <w:rsid w:val="00E9377A"/>
    <w:rsid w:val="00E97398"/>
    <w:rsid w:val="00E97F0E"/>
    <w:rsid w:val="00EA128E"/>
    <w:rsid w:val="00EA43BE"/>
    <w:rsid w:val="00EA4988"/>
    <w:rsid w:val="00EA4B7B"/>
    <w:rsid w:val="00EA5580"/>
    <w:rsid w:val="00EA7696"/>
    <w:rsid w:val="00EB1308"/>
    <w:rsid w:val="00EB3728"/>
    <w:rsid w:val="00EC0509"/>
    <w:rsid w:val="00EC6070"/>
    <w:rsid w:val="00EC70FD"/>
    <w:rsid w:val="00EC71E0"/>
    <w:rsid w:val="00ED2B3F"/>
    <w:rsid w:val="00ED3285"/>
    <w:rsid w:val="00ED565A"/>
    <w:rsid w:val="00ED73BA"/>
    <w:rsid w:val="00EE2503"/>
    <w:rsid w:val="00EE281D"/>
    <w:rsid w:val="00EE3578"/>
    <w:rsid w:val="00EE3E86"/>
    <w:rsid w:val="00EE401D"/>
    <w:rsid w:val="00EE696C"/>
    <w:rsid w:val="00EE782E"/>
    <w:rsid w:val="00EF0C74"/>
    <w:rsid w:val="00EF2965"/>
    <w:rsid w:val="00EF2DEF"/>
    <w:rsid w:val="00EF3361"/>
    <w:rsid w:val="00EF740C"/>
    <w:rsid w:val="00F065CF"/>
    <w:rsid w:val="00F07A42"/>
    <w:rsid w:val="00F10E65"/>
    <w:rsid w:val="00F11FAE"/>
    <w:rsid w:val="00F14605"/>
    <w:rsid w:val="00F152A6"/>
    <w:rsid w:val="00F16AA8"/>
    <w:rsid w:val="00F16E0A"/>
    <w:rsid w:val="00F20051"/>
    <w:rsid w:val="00F202FB"/>
    <w:rsid w:val="00F24E47"/>
    <w:rsid w:val="00F3002F"/>
    <w:rsid w:val="00F30559"/>
    <w:rsid w:val="00F32FC1"/>
    <w:rsid w:val="00F337CF"/>
    <w:rsid w:val="00F34E5A"/>
    <w:rsid w:val="00F35515"/>
    <w:rsid w:val="00F366E9"/>
    <w:rsid w:val="00F41544"/>
    <w:rsid w:val="00F42D0E"/>
    <w:rsid w:val="00F549B9"/>
    <w:rsid w:val="00F70DBA"/>
    <w:rsid w:val="00F70F66"/>
    <w:rsid w:val="00F7235D"/>
    <w:rsid w:val="00F72475"/>
    <w:rsid w:val="00F734CC"/>
    <w:rsid w:val="00F740BD"/>
    <w:rsid w:val="00F741A7"/>
    <w:rsid w:val="00F742C0"/>
    <w:rsid w:val="00F77507"/>
    <w:rsid w:val="00F807C5"/>
    <w:rsid w:val="00F8434D"/>
    <w:rsid w:val="00F845CC"/>
    <w:rsid w:val="00F92218"/>
    <w:rsid w:val="00F92FC2"/>
    <w:rsid w:val="00F95EB7"/>
    <w:rsid w:val="00FA10B8"/>
    <w:rsid w:val="00FA128A"/>
    <w:rsid w:val="00FA2FBA"/>
    <w:rsid w:val="00FA3519"/>
    <w:rsid w:val="00FA52D8"/>
    <w:rsid w:val="00FA66E0"/>
    <w:rsid w:val="00FB0CF8"/>
    <w:rsid w:val="00FB360D"/>
    <w:rsid w:val="00FB38F6"/>
    <w:rsid w:val="00FB4FFC"/>
    <w:rsid w:val="00FB5C39"/>
    <w:rsid w:val="00FC2D38"/>
    <w:rsid w:val="00FC36B1"/>
    <w:rsid w:val="00FC3BB5"/>
    <w:rsid w:val="00FC494F"/>
    <w:rsid w:val="00FC5274"/>
    <w:rsid w:val="00FC6765"/>
    <w:rsid w:val="00FD0465"/>
    <w:rsid w:val="00FD0921"/>
    <w:rsid w:val="00FD0E51"/>
    <w:rsid w:val="00FD14F2"/>
    <w:rsid w:val="00FD33B5"/>
    <w:rsid w:val="00FD5078"/>
    <w:rsid w:val="00FD5C61"/>
    <w:rsid w:val="00FD5DC5"/>
    <w:rsid w:val="00FD6EC0"/>
    <w:rsid w:val="00FD76BD"/>
    <w:rsid w:val="00FE1D98"/>
    <w:rsid w:val="00FE3D68"/>
    <w:rsid w:val="00FE597C"/>
    <w:rsid w:val="00FF190F"/>
    <w:rsid w:val="00FF2666"/>
    <w:rsid w:val="00FF45C5"/>
    <w:rsid w:val="00FF4A8F"/>
    <w:rsid w:val="00FF5B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martTagType w:namespaceuri="urn:schemas-microsoft-com:office:smarttags" w:name="PersonName"/>
  <w:smartTagType w:namespaceuri="urn:schemas-microsoft-com:office:smarttags" w:name="date"/>
  <w:smartTagType w:namespaceuri="urn:schemas-microsoft-com:office:smarttags" w:name="country-region"/>
  <w:smartTagType w:namespaceuri="urn:schemas-microsoft-com:office:smarttags" w:name="place"/>
  <w:smartTagType w:namespaceuri="urn:schemas-microsoft-com:office:smarttags" w:name="State"/>
  <w:smartTagType w:namespaceuri="urn:schemas-microsoft-com:office:smarttags" w:name="metricconverter"/>
  <w:shapeDefaults>
    <o:shapedefaults v:ext="edit" spidmax="2049"/>
    <o:shapelayout v:ext="edit">
      <o:idmap v:ext="edit" data="1"/>
    </o:shapelayout>
  </w:shapeDefaults>
  <w:decimalSymbol w:val=","/>
  <w:listSeparator w:val=";"/>
  <w15:docId w15:val="{30C7592B-585E-48B9-9B98-3DEFF0AE5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19DA"/>
    <w:rPr>
      <w:sz w:val="24"/>
      <w:szCs w:val="24"/>
    </w:rPr>
  </w:style>
  <w:style w:type="paragraph" w:styleId="Titre1">
    <w:name w:val="heading 1"/>
    <w:basedOn w:val="Normal"/>
    <w:next w:val="Normal"/>
    <w:link w:val="Titre1Car"/>
    <w:qFormat/>
    <w:rsid w:val="005219DA"/>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qFormat/>
    <w:rsid w:val="005219DA"/>
    <w:pPr>
      <w:keepNext/>
      <w:spacing w:before="240" w:after="60"/>
      <w:outlineLvl w:val="1"/>
    </w:pPr>
    <w:rPr>
      <w:rFonts w:ascii="Arial" w:hAnsi="Arial" w:cs="Arial"/>
      <w:b/>
      <w:bCs/>
      <w:i/>
      <w:iCs/>
      <w:sz w:val="26"/>
      <w:szCs w:val="28"/>
    </w:rPr>
  </w:style>
  <w:style w:type="paragraph" w:styleId="Titre3">
    <w:name w:val="heading 3"/>
    <w:basedOn w:val="Normal"/>
    <w:next w:val="Normal"/>
    <w:link w:val="Titre3Car"/>
    <w:qFormat/>
    <w:rsid w:val="005219DA"/>
    <w:pPr>
      <w:keepNext/>
      <w:spacing w:before="240" w:after="60"/>
      <w:outlineLvl w:val="2"/>
    </w:pPr>
    <w:rPr>
      <w:rFonts w:ascii="Arial" w:hAnsi="Arial" w:cs="Arial"/>
      <w:bCs/>
      <w:i/>
      <w:szCs w:val="26"/>
    </w:rPr>
  </w:style>
  <w:style w:type="paragraph" w:styleId="Titre4">
    <w:name w:val="heading 4"/>
    <w:basedOn w:val="Normal"/>
    <w:next w:val="Normal"/>
    <w:link w:val="Titre4Car"/>
    <w:qFormat/>
    <w:rsid w:val="005219DA"/>
    <w:pPr>
      <w:keepNext/>
      <w:spacing w:before="240" w:after="60"/>
      <w:outlineLvl w:val="3"/>
    </w:pPr>
    <w:rPr>
      <w:bCs/>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sid w:val="005219DA"/>
    <w:rPr>
      <w:rFonts w:ascii="Arial" w:hAnsi="Arial" w:cs="Arial"/>
      <w:b/>
      <w:bCs/>
      <w:i/>
      <w:iCs/>
      <w:sz w:val="26"/>
      <w:szCs w:val="28"/>
      <w:lang w:val="fr-FR" w:eastAsia="fr-FR" w:bidi="ar-SA"/>
    </w:rPr>
  </w:style>
  <w:style w:type="paragraph" w:styleId="Lgende">
    <w:name w:val="caption"/>
    <w:basedOn w:val="Normal"/>
    <w:next w:val="Normal"/>
    <w:link w:val="LgendeCar"/>
    <w:qFormat/>
    <w:rsid w:val="005219DA"/>
    <w:rPr>
      <w:b/>
      <w:bCs/>
      <w:sz w:val="20"/>
      <w:szCs w:val="20"/>
    </w:rPr>
  </w:style>
  <w:style w:type="character" w:customStyle="1" w:styleId="LgendeCar">
    <w:name w:val="Légende Car"/>
    <w:link w:val="Lgende"/>
    <w:rsid w:val="005219DA"/>
    <w:rPr>
      <w:b/>
      <w:bCs/>
      <w:lang w:val="fr-FR" w:eastAsia="fr-FR" w:bidi="ar-SA"/>
    </w:rPr>
  </w:style>
  <w:style w:type="paragraph" w:customStyle="1" w:styleId="StyleLgendeTimesNewW112pt">
    <w:name w:val="Style Légende + Times New (W1) 12 pt"/>
    <w:basedOn w:val="Lgende"/>
    <w:link w:val="StyleLgendeTimesNewW112ptCar"/>
    <w:autoRedefine/>
    <w:rsid w:val="005219DA"/>
    <w:rPr>
      <w:rFonts w:ascii="Times New (W1)" w:hAnsi="Times New (W1)"/>
      <w:sz w:val="24"/>
    </w:rPr>
  </w:style>
  <w:style w:type="character" w:customStyle="1" w:styleId="StyleLgendeTimesNewW112ptCar">
    <w:name w:val="Style Légende + Times New (W1) 12 pt Car"/>
    <w:link w:val="StyleLgendeTimesNewW112pt"/>
    <w:rsid w:val="005219DA"/>
    <w:rPr>
      <w:rFonts w:ascii="Times New (W1)" w:hAnsi="Times New (W1)"/>
      <w:b/>
      <w:bCs/>
      <w:sz w:val="24"/>
      <w:lang w:val="fr-FR" w:eastAsia="fr-FR" w:bidi="ar-SA"/>
    </w:rPr>
  </w:style>
  <w:style w:type="character" w:styleId="Lienhypertexte">
    <w:name w:val="Hyperlink"/>
    <w:uiPriority w:val="99"/>
    <w:rsid w:val="005219DA"/>
    <w:rPr>
      <w:color w:val="0000FF"/>
      <w:u w:val="single"/>
    </w:rPr>
  </w:style>
  <w:style w:type="paragraph" w:customStyle="1" w:styleId="section1">
    <w:name w:val="section1"/>
    <w:basedOn w:val="Normal"/>
    <w:rsid w:val="005219DA"/>
    <w:pPr>
      <w:spacing w:before="100" w:beforeAutospacing="1" w:after="100" w:afterAutospacing="1"/>
    </w:pPr>
  </w:style>
  <w:style w:type="character" w:styleId="Accentuation">
    <w:name w:val="Emphasis"/>
    <w:uiPriority w:val="20"/>
    <w:qFormat/>
    <w:rsid w:val="005219DA"/>
    <w:rPr>
      <w:i/>
      <w:iCs/>
    </w:rPr>
  </w:style>
  <w:style w:type="character" w:styleId="Lienhypertextesuivivisit">
    <w:name w:val="FollowedHyperlink"/>
    <w:rsid w:val="005219DA"/>
    <w:rPr>
      <w:color w:val="800080"/>
      <w:u w:val="single"/>
    </w:rPr>
  </w:style>
  <w:style w:type="paragraph" w:styleId="NormalWeb">
    <w:name w:val="Normal (Web)"/>
    <w:basedOn w:val="Normal"/>
    <w:rsid w:val="005219DA"/>
    <w:pPr>
      <w:spacing w:before="100" w:beforeAutospacing="1" w:after="100" w:afterAutospacing="1"/>
    </w:pPr>
  </w:style>
  <w:style w:type="paragraph" w:styleId="Notedebasdepage">
    <w:name w:val="footnote text"/>
    <w:basedOn w:val="Normal"/>
    <w:link w:val="NotedebasdepageCar"/>
    <w:semiHidden/>
    <w:rsid w:val="005219DA"/>
    <w:rPr>
      <w:sz w:val="20"/>
      <w:szCs w:val="20"/>
    </w:rPr>
  </w:style>
  <w:style w:type="character" w:styleId="Appelnotedebasdep">
    <w:name w:val="footnote reference"/>
    <w:semiHidden/>
    <w:rsid w:val="005219DA"/>
    <w:rPr>
      <w:vertAlign w:val="superscript"/>
    </w:rPr>
  </w:style>
  <w:style w:type="paragraph" w:customStyle="1" w:styleId="StyleLgendeCentr">
    <w:name w:val="Style Légende + Centré"/>
    <w:basedOn w:val="Lgende"/>
    <w:rsid w:val="005219DA"/>
    <w:pPr>
      <w:spacing w:after="60"/>
      <w:jc w:val="center"/>
    </w:pPr>
  </w:style>
  <w:style w:type="paragraph" w:styleId="Pieddepage">
    <w:name w:val="footer"/>
    <w:basedOn w:val="Normal"/>
    <w:link w:val="PieddepageCar"/>
    <w:uiPriority w:val="99"/>
    <w:rsid w:val="005219DA"/>
    <w:pPr>
      <w:tabs>
        <w:tab w:val="center" w:pos="4536"/>
        <w:tab w:val="right" w:pos="9072"/>
      </w:tabs>
    </w:pPr>
  </w:style>
  <w:style w:type="character" w:styleId="Numrodepage">
    <w:name w:val="page number"/>
    <w:basedOn w:val="Policepardfaut"/>
    <w:rsid w:val="005219DA"/>
  </w:style>
  <w:style w:type="paragraph" w:customStyle="1" w:styleId="StyleLgendeAprs3pt">
    <w:name w:val="Style Légende + Après : 3 pt"/>
    <w:basedOn w:val="Lgende"/>
    <w:autoRedefine/>
    <w:rsid w:val="005219DA"/>
    <w:pPr>
      <w:spacing w:after="60"/>
    </w:pPr>
    <w:rPr>
      <w:sz w:val="22"/>
      <w:lang w:val="fr-CA"/>
    </w:rPr>
  </w:style>
  <w:style w:type="character" w:customStyle="1" w:styleId="Titre2Car1">
    <w:name w:val="Titre 2 Car1"/>
    <w:rsid w:val="005219DA"/>
    <w:rPr>
      <w:rFonts w:ascii="Arial" w:hAnsi="Arial" w:cs="Arial"/>
      <w:b/>
      <w:bCs/>
      <w:i/>
      <w:iCs/>
      <w:sz w:val="26"/>
      <w:szCs w:val="28"/>
      <w:lang w:val="fr-FR" w:eastAsia="fr-FR" w:bidi="ar-SA"/>
    </w:rPr>
  </w:style>
  <w:style w:type="paragraph" w:styleId="Corpsdetexte">
    <w:name w:val="Body Text"/>
    <w:basedOn w:val="Normal"/>
    <w:link w:val="CorpsdetexteCar"/>
    <w:rsid w:val="005219DA"/>
    <w:pPr>
      <w:jc w:val="both"/>
    </w:pPr>
  </w:style>
  <w:style w:type="paragraph" w:styleId="TM2">
    <w:name w:val="toc 2"/>
    <w:basedOn w:val="Normal"/>
    <w:next w:val="Normal"/>
    <w:autoRedefine/>
    <w:uiPriority w:val="39"/>
    <w:rsid w:val="005219DA"/>
    <w:pPr>
      <w:ind w:left="240"/>
    </w:pPr>
  </w:style>
  <w:style w:type="paragraph" w:styleId="TM3">
    <w:name w:val="toc 3"/>
    <w:basedOn w:val="Normal"/>
    <w:next w:val="Normal"/>
    <w:autoRedefine/>
    <w:uiPriority w:val="39"/>
    <w:rsid w:val="005219DA"/>
    <w:pPr>
      <w:ind w:left="480"/>
    </w:pPr>
  </w:style>
  <w:style w:type="paragraph" w:styleId="Tabledesillustrations">
    <w:name w:val="table of figures"/>
    <w:basedOn w:val="Normal"/>
    <w:next w:val="Normal"/>
    <w:uiPriority w:val="99"/>
    <w:rsid w:val="005219DA"/>
  </w:style>
  <w:style w:type="paragraph" w:customStyle="1" w:styleId="StyleGauche125cm">
    <w:name w:val="Style Gauche :  125 cm"/>
    <w:basedOn w:val="Normal"/>
    <w:rsid w:val="005219DA"/>
    <w:pPr>
      <w:ind w:left="1049" w:hanging="340"/>
    </w:pPr>
    <w:rPr>
      <w:i/>
      <w:szCs w:val="20"/>
    </w:rPr>
  </w:style>
  <w:style w:type="paragraph" w:customStyle="1" w:styleId="justificationauditautres">
    <w:name w:val="justification_audit_autres"/>
    <w:basedOn w:val="Normal"/>
    <w:rsid w:val="005219DA"/>
    <w:pPr>
      <w:widowControl w:val="0"/>
      <w:tabs>
        <w:tab w:val="left" w:pos="226"/>
      </w:tabs>
      <w:autoSpaceDE w:val="0"/>
      <w:autoSpaceDN w:val="0"/>
      <w:adjustRightInd w:val="0"/>
      <w:spacing w:before="163"/>
    </w:pPr>
    <w:rPr>
      <w:b/>
      <w:bCs/>
      <w:color w:val="000000"/>
      <w:sz w:val="18"/>
      <w:szCs w:val="18"/>
    </w:rPr>
  </w:style>
  <w:style w:type="table" w:customStyle="1" w:styleId="Tableauclassique11">
    <w:name w:val="Tableau classique 11"/>
    <w:basedOn w:val="TableauNormal"/>
    <w:rsid w:val="005219D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En-tte">
    <w:name w:val="header"/>
    <w:basedOn w:val="Normal"/>
    <w:link w:val="En-tteCar"/>
    <w:rsid w:val="005219DA"/>
    <w:pPr>
      <w:tabs>
        <w:tab w:val="center" w:pos="4536"/>
        <w:tab w:val="right" w:pos="9072"/>
      </w:tabs>
    </w:pPr>
  </w:style>
  <w:style w:type="paragraph" w:customStyle="1" w:styleId="StyleArialInterligne15ligne">
    <w:name w:val="Style Arial Interligne : 15 ligne"/>
    <w:basedOn w:val="Normal"/>
    <w:rsid w:val="005219DA"/>
    <w:pPr>
      <w:numPr>
        <w:numId w:val="4"/>
      </w:numPr>
    </w:pPr>
  </w:style>
  <w:style w:type="paragraph" w:customStyle="1" w:styleId="Lgende2">
    <w:name w:val="Légende2"/>
    <w:basedOn w:val="Normal"/>
    <w:next w:val="Normal"/>
    <w:rsid w:val="006543E1"/>
    <w:pPr>
      <w:suppressAutoHyphens/>
    </w:pPr>
    <w:rPr>
      <w:b/>
      <w:bCs/>
      <w:sz w:val="20"/>
      <w:szCs w:val="20"/>
      <w:lang w:eastAsia="ar-SA"/>
    </w:rPr>
  </w:style>
  <w:style w:type="table" w:styleId="Grilledutableau">
    <w:name w:val="Table Grid"/>
    <w:basedOn w:val="TableauNormal"/>
    <w:uiPriority w:val="59"/>
    <w:rsid w:val="005D3F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semiHidden/>
    <w:rsid w:val="00CE0147"/>
    <w:rPr>
      <w:sz w:val="16"/>
      <w:szCs w:val="16"/>
    </w:rPr>
  </w:style>
  <w:style w:type="paragraph" w:styleId="Commentaire">
    <w:name w:val="annotation text"/>
    <w:basedOn w:val="Normal"/>
    <w:link w:val="CommentaireCar"/>
    <w:semiHidden/>
    <w:rsid w:val="00CE0147"/>
    <w:rPr>
      <w:sz w:val="20"/>
      <w:szCs w:val="20"/>
    </w:rPr>
  </w:style>
  <w:style w:type="paragraph" w:styleId="Objetducommentaire">
    <w:name w:val="annotation subject"/>
    <w:basedOn w:val="Commentaire"/>
    <w:next w:val="Commentaire"/>
    <w:link w:val="ObjetducommentaireCar"/>
    <w:semiHidden/>
    <w:rsid w:val="00CE0147"/>
    <w:rPr>
      <w:b/>
      <w:bCs/>
    </w:rPr>
  </w:style>
  <w:style w:type="paragraph" w:styleId="Textedebulles">
    <w:name w:val="Balloon Text"/>
    <w:basedOn w:val="Normal"/>
    <w:link w:val="TextedebullesCar"/>
    <w:semiHidden/>
    <w:rsid w:val="00CE0147"/>
    <w:rPr>
      <w:rFonts w:ascii="Tahoma" w:hAnsi="Tahoma" w:cs="Tahoma"/>
      <w:sz w:val="16"/>
      <w:szCs w:val="16"/>
    </w:rPr>
  </w:style>
  <w:style w:type="character" w:customStyle="1" w:styleId="Titre3Car">
    <w:name w:val="Titre 3 Car"/>
    <w:link w:val="Titre3"/>
    <w:rsid w:val="007571B8"/>
    <w:rPr>
      <w:rFonts w:ascii="Arial" w:hAnsi="Arial" w:cs="Arial"/>
      <w:bCs/>
      <w:i/>
      <w:sz w:val="24"/>
      <w:szCs w:val="26"/>
      <w:lang w:val="fr-FR" w:eastAsia="fr-FR" w:bidi="ar-SA"/>
    </w:rPr>
  </w:style>
  <w:style w:type="character" w:customStyle="1" w:styleId="apple-style-span">
    <w:name w:val="apple-style-span"/>
    <w:basedOn w:val="Policepardfaut"/>
    <w:rsid w:val="008D0541"/>
  </w:style>
  <w:style w:type="character" w:styleId="lev">
    <w:name w:val="Strong"/>
    <w:qFormat/>
    <w:rsid w:val="005848E7"/>
    <w:rPr>
      <w:b/>
      <w:bCs/>
    </w:rPr>
  </w:style>
  <w:style w:type="paragraph" w:customStyle="1" w:styleId="StyleTitre3Gras">
    <w:name w:val="Style Titre 3 + Gras"/>
    <w:basedOn w:val="Titre3"/>
    <w:rsid w:val="00D51D41"/>
    <w:rPr>
      <w:iCs/>
      <w:u w:val="single"/>
    </w:rPr>
  </w:style>
  <w:style w:type="paragraph" w:styleId="Rvision">
    <w:name w:val="Revision"/>
    <w:hidden/>
    <w:uiPriority w:val="99"/>
    <w:semiHidden/>
    <w:rsid w:val="00B361E6"/>
    <w:rPr>
      <w:sz w:val="24"/>
      <w:szCs w:val="24"/>
    </w:rPr>
  </w:style>
  <w:style w:type="character" w:customStyle="1" w:styleId="Titre1Car">
    <w:name w:val="Titre 1 Car"/>
    <w:link w:val="Titre1"/>
    <w:locked/>
    <w:rsid w:val="00CE5299"/>
    <w:rPr>
      <w:rFonts w:ascii="Arial" w:hAnsi="Arial" w:cs="Arial"/>
      <w:b/>
      <w:bCs/>
      <w:kern w:val="32"/>
      <w:sz w:val="32"/>
      <w:szCs w:val="32"/>
    </w:rPr>
  </w:style>
  <w:style w:type="character" w:customStyle="1" w:styleId="Titre4Car">
    <w:name w:val="Titre 4 Car"/>
    <w:link w:val="Titre4"/>
    <w:locked/>
    <w:rsid w:val="00CE5299"/>
    <w:rPr>
      <w:bCs/>
      <w:sz w:val="24"/>
      <w:szCs w:val="24"/>
      <w:u w:val="single"/>
    </w:rPr>
  </w:style>
  <w:style w:type="character" w:customStyle="1" w:styleId="TextedebullesCar">
    <w:name w:val="Texte de bulles Car"/>
    <w:link w:val="Textedebulles"/>
    <w:semiHidden/>
    <w:locked/>
    <w:rsid w:val="00CE5299"/>
    <w:rPr>
      <w:rFonts w:ascii="Tahoma" w:hAnsi="Tahoma" w:cs="Tahoma"/>
      <w:sz w:val="16"/>
      <w:szCs w:val="16"/>
    </w:rPr>
  </w:style>
  <w:style w:type="character" w:customStyle="1" w:styleId="En-tteCar">
    <w:name w:val="En-tête Car"/>
    <w:link w:val="En-tte"/>
    <w:locked/>
    <w:rsid w:val="00CE5299"/>
    <w:rPr>
      <w:sz w:val="24"/>
      <w:szCs w:val="24"/>
    </w:rPr>
  </w:style>
  <w:style w:type="character" w:customStyle="1" w:styleId="PieddepageCar">
    <w:name w:val="Pied de page Car"/>
    <w:link w:val="Pieddepage"/>
    <w:uiPriority w:val="99"/>
    <w:locked/>
    <w:rsid w:val="00CE5299"/>
    <w:rPr>
      <w:sz w:val="24"/>
      <w:szCs w:val="24"/>
    </w:rPr>
  </w:style>
  <w:style w:type="character" w:customStyle="1" w:styleId="NotedebasdepageCar">
    <w:name w:val="Note de bas de page Car"/>
    <w:link w:val="Notedebasdepage"/>
    <w:semiHidden/>
    <w:locked/>
    <w:rsid w:val="00CE5299"/>
  </w:style>
  <w:style w:type="paragraph" w:styleId="TM1">
    <w:name w:val="toc 1"/>
    <w:basedOn w:val="Normal"/>
    <w:next w:val="Normal"/>
    <w:link w:val="TM1Car"/>
    <w:autoRedefine/>
    <w:uiPriority w:val="39"/>
    <w:rsid w:val="00CE5299"/>
    <w:pPr>
      <w:tabs>
        <w:tab w:val="right" w:leader="dot" w:pos="8612"/>
      </w:tabs>
      <w:spacing w:line="276" w:lineRule="auto"/>
      <w:jc w:val="both"/>
    </w:pPr>
    <w:rPr>
      <w:rFonts w:eastAsia="Calibri"/>
      <w:b/>
      <w:noProof/>
    </w:rPr>
  </w:style>
  <w:style w:type="character" w:customStyle="1" w:styleId="TM1Car">
    <w:name w:val="TM 1 Car"/>
    <w:link w:val="TM1"/>
    <w:uiPriority w:val="39"/>
    <w:locked/>
    <w:rsid w:val="00CE5299"/>
    <w:rPr>
      <w:rFonts w:eastAsia="Calibri"/>
      <w:b/>
      <w:noProof/>
      <w:sz w:val="24"/>
      <w:szCs w:val="24"/>
    </w:rPr>
  </w:style>
  <w:style w:type="character" w:customStyle="1" w:styleId="CorpsdetexteCar">
    <w:name w:val="Corps de texte Car"/>
    <w:link w:val="Corpsdetexte"/>
    <w:locked/>
    <w:rsid w:val="00CE5299"/>
    <w:rPr>
      <w:sz w:val="24"/>
      <w:szCs w:val="24"/>
    </w:rPr>
  </w:style>
  <w:style w:type="paragraph" w:customStyle="1" w:styleId="Sansinterligne1">
    <w:name w:val="Sans interligne1"/>
    <w:rsid w:val="00CE5299"/>
    <w:pPr>
      <w:ind w:right="-108"/>
      <w:jc w:val="both"/>
    </w:pPr>
    <w:rPr>
      <w:rFonts w:eastAsia="Calibri"/>
      <w:sz w:val="24"/>
      <w:szCs w:val="24"/>
    </w:rPr>
  </w:style>
  <w:style w:type="character" w:customStyle="1" w:styleId="CommentaireCar">
    <w:name w:val="Commentaire Car"/>
    <w:link w:val="Commentaire"/>
    <w:semiHidden/>
    <w:locked/>
    <w:rsid w:val="00CE5299"/>
  </w:style>
  <w:style w:type="character" w:customStyle="1" w:styleId="ObjetducommentaireCar">
    <w:name w:val="Objet du commentaire Car"/>
    <w:link w:val="Objetducommentaire"/>
    <w:semiHidden/>
    <w:locked/>
    <w:rsid w:val="00CE5299"/>
    <w:rPr>
      <w:b/>
      <w:bCs/>
    </w:rPr>
  </w:style>
  <w:style w:type="character" w:customStyle="1" w:styleId="apple-converted-space">
    <w:name w:val="apple-converted-space"/>
    <w:rsid w:val="00CE5299"/>
  </w:style>
  <w:style w:type="paragraph" w:customStyle="1" w:styleId="contenu">
    <w:name w:val="contenu"/>
    <w:basedOn w:val="Normal"/>
    <w:rsid w:val="00CE5299"/>
    <w:pPr>
      <w:spacing w:before="100" w:beforeAutospacing="1" w:after="100" w:afterAutospacing="1"/>
    </w:pPr>
    <w:rPr>
      <w:rFonts w:ascii="Arial" w:hAnsi="Arial" w:cs="Arial"/>
      <w:color w:val="000000"/>
      <w:sz w:val="18"/>
      <w:szCs w:val="18"/>
      <w:lang w:val="fr-CA" w:eastAsia="fr-CA"/>
    </w:rPr>
  </w:style>
  <w:style w:type="paragraph" w:styleId="Paragraphedeliste">
    <w:name w:val="List Paragraph"/>
    <w:basedOn w:val="Normal"/>
    <w:uiPriority w:val="34"/>
    <w:qFormat/>
    <w:rsid w:val="00CE5299"/>
    <w:pPr>
      <w:spacing w:line="276" w:lineRule="auto"/>
      <w:ind w:left="720" w:right="-108"/>
      <w:contextualSpacing/>
      <w:jc w:val="both"/>
    </w:pPr>
    <w:rPr>
      <w:rFonts w:eastAsia="Calibri"/>
    </w:rPr>
  </w:style>
  <w:style w:type="paragraph" w:styleId="Sous-titre">
    <w:name w:val="Subtitle"/>
    <w:basedOn w:val="Normal"/>
    <w:next w:val="Normal"/>
    <w:link w:val="Sous-titreCar"/>
    <w:qFormat/>
    <w:rsid w:val="00CE5299"/>
    <w:pPr>
      <w:spacing w:after="60" w:line="276" w:lineRule="auto"/>
      <w:ind w:right="-108"/>
      <w:jc w:val="center"/>
      <w:outlineLvl w:val="1"/>
    </w:pPr>
    <w:rPr>
      <w:rFonts w:ascii="Cambria" w:hAnsi="Cambria"/>
    </w:rPr>
  </w:style>
  <w:style w:type="character" w:customStyle="1" w:styleId="Sous-titreCar">
    <w:name w:val="Sous-titre Car"/>
    <w:basedOn w:val="Policepardfaut"/>
    <w:link w:val="Sous-titre"/>
    <w:rsid w:val="00CE5299"/>
    <w:rPr>
      <w:rFonts w:ascii="Cambria" w:hAnsi="Cambria"/>
      <w:sz w:val="24"/>
      <w:szCs w:val="24"/>
    </w:rPr>
  </w:style>
  <w:style w:type="paragraph" w:styleId="Titre">
    <w:name w:val="Title"/>
    <w:basedOn w:val="Normal"/>
    <w:next w:val="Normal"/>
    <w:link w:val="TitreCar"/>
    <w:qFormat/>
    <w:rsid w:val="00CE5299"/>
    <w:pPr>
      <w:spacing w:before="240" w:after="60" w:line="276" w:lineRule="auto"/>
      <w:ind w:right="-108"/>
      <w:jc w:val="center"/>
      <w:outlineLvl w:val="0"/>
    </w:pPr>
    <w:rPr>
      <w:rFonts w:ascii="Cambria" w:hAnsi="Cambria"/>
      <w:b/>
      <w:bCs/>
      <w:kern w:val="28"/>
      <w:sz w:val="32"/>
      <w:szCs w:val="32"/>
    </w:rPr>
  </w:style>
  <w:style w:type="character" w:customStyle="1" w:styleId="TitreCar">
    <w:name w:val="Titre Car"/>
    <w:basedOn w:val="Policepardfaut"/>
    <w:link w:val="Titre"/>
    <w:rsid w:val="00CE5299"/>
    <w:rPr>
      <w:rFonts w:ascii="Cambria" w:hAnsi="Cambria"/>
      <w:b/>
      <w:bCs/>
      <w:kern w:val="28"/>
      <w:sz w:val="32"/>
      <w:szCs w:val="32"/>
    </w:rPr>
  </w:style>
  <w:style w:type="paragraph" w:styleId="PrformatHTML">
    <w:name w:val="HTML Preformatted"/>
    <w:basedOn w:val="Normal"/>
    <w:link w:val="PrformatHTMLCar"/>
    <w:uiPriority w:val="99"/>
    <w:unhideWhenUsed/>
    <w:rsid w:val="00CE52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fr-CA" w:eastAsia="fr-CA"/>
    </w:rPr>
  </w:style>
  <w:style w:type="character" w:customStyle="1" w:styleId="PrformatHTMLCar">
    <w:name w:val="Préformaté HTML Car"/>
    <w:basedOn w:val="Policepardfaut"/>
    <w:link w:val="PrformatHTML"/>
    <w:uiPriority w:val="99"/>
    <w:rsid w:val="00CE5299"/>
    <w:rPr>
      <w:rFonts w:ascii="Courier New" w:hAnsi="Courier New" w:cs="Courier New"/>
      <w:lang w:val="fr-CA" w:eastAsia="fr-CA"/>
    </w:rPr>
  </w:style>
  <w:style w:type="character" w:customStyle="1" w:styleId="Mention">
    <w:name w:val="Mention"/>
    <w:basedOn w:val="Policepardfaut"/>
    <w:uiPriority w:val="99"/>
    <w:semiHidden/>
    <w:unhideWhenUsed/>
    <w:rsid w:val="008532F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4372817">
      <w:bodyDiv w:val="1"/>
      <w:marLeft w:val="0"/>
      <w:marRight w:val="0"/>
      <w:marTop w:val="0"/>
      <w:marBottom w:val="0"/>
      <w:divBdr>
        <w:top w:val="none" w:sz="0" w:space="0" w:color="auto"/>
        <w:left w:val="none" w:sz="0" w:space="0" w:color="auto"/>
        <w:bottom w:val="none" w:sz="0" w:space="0" w:color="auto"/>
        <w:right w:val="none" w:sz="0" w:space="0" w:color="auto"/>
      </w:divBdr>
    </w:div>
    <w:div w:id="117265571">
      <w:bodyDiv w:val="1"/>
      <w:marLeft w:val="0"/>
      <w:marRight w:val="0"/>
      <w:marTop w:val="0"/>
      <w:marBottom w:val="0"/>
      <w:divBdr>
        <w:top w:val="none" w:sz="0" w:space="0" w:color="auto"/>
        <w:left w:val="none" w:sz="0" w:space="0" w:color="auto"/>
        <w:bottom w:val="none" w:sz="0" w:space="0" w:color="auto"/>
        <w:right w:val="none" w:sz="0" w:space="0" w:color="auto"/>
      </w:divBdr>
    </w:div>
    <w:div w:id="153382395">
      <w:bodyDiv w:val="1"/>
      <w:marLeft w:val="0"/>
      <w:marRight w:val="0"/>
      <w:marTop w:val="0"/>
      <w:marBottom w:val="0"/>
      <w:divBdr>
        <w:top w:val="none" w:sz="0" w:space="0" w:color="auto"/>
        <w:left w:val="none" w:sz="0" w:space="0" w:color="auto"/>
        <w:bottom w:val="none" w:sz="0" w:space="0" w:color="auto"/>
        <w:right w:val="none" w:sz="0" w:space="0" w:color="auto"/>
      </w:divBdr>
    </w:div>
    <w:div w:id="200021055">
      <w:bodyDiv w:val="1"/>
      <w:marLeft w:val="0"/>
      <w:marRight w:val="0"/>
      <w:marTop w:val="0"/>
      <w:marBottom w:val="0"/>
      <w:divBdr>
        <w:top w:val="none" w:sz="0" w:space="0" w:color="auto"/>
        <w:left w:val="none" w:sz="0" w:space="0" w:color="auto"/>
        <w:bottom w:val="none" w:sz="0" w:space="0" w:color="auto"/>
        <w:right w:val="none" w:sz="0" w:space="0" w:color="auto"/>
      </w:divBdr>
    </w:div>
    <w:div w:id="333802436">
      <w:bodyDiv w:val="1"/>
      <w:marLeft w:val="0"/>
      <w:marRight w:val="0"/>
      <w:marTop w:val="0"/>
      <w:marBottom w:val="0"/>
      <w:divBdr>
        <w:top w:val="none" w:sz="0" w:space="0" w:color="auto"/>
        <w:left w:val="none" w:sz="0" w:space="0" w:color="auto"/>
        <w:bottom w:val="none" w:sz="0" w:space="0" w:color="auto"/>
        <w:right w:val="none" w:sz="0" w:space="0" w:color="auto"/>
      </w:divBdr>
    </w:div>
    <w:div w:id="436757987">
      <w:bodyDiv w:val="1"/>
      <w:marLeft w:val="0"/>
      <w:marRight w:val="0"/>
      <w:marTop w:val="0"/>
      <w:marBottom w:val="0"/>
      <w:divBdr>
        <w:top w:val="none" w:sz="0" w:space="0" w:color="auto"/>
        <w:left w:val="none" w:sz="0" w:space="0" w:color="auto"/>
        <w:bottom w:val="none" w:sz="0" w:space="0" w:color="auto"/>
        <w:right w:val="none" w:sz="0" w:space="0" w:color="auto"/>
      </w:divBdr>
    </w:div>
    <w:div w:id="443889113">
      <w:bodyDiv w:val="1"/>
      <w:marLeft w:val="0"/>
      <w:marRight w:val="0"/>
      <w:marTop w:val="0"/>
      <w:marBottom w:val="0"/>
      <w:divBdr>
        <w:top w:val="none" w:sz="0" w:space="0" w:color="auto"/>
        <w:left w:val="none" w:sz="0" w:space="0" w:color="auto"/>
        <w:bottom w:val="none" w:sz="0" w:space="0" w:color="auto"/>
        <w:right w:val="none" w:sz="0" w:space="0" w:color="auto"/>
      </w:divBdr>
    </w:div>
    <w:div w:id="452602330">
      <w:bodyDiv w:val="1"/>
      <w:marLeft w:val="0"/>
      <w:marRight w:val="0"/>
      <w:marTop w:val="0"/>
      <w:marBottom w:val="0"/>
      <w:divBdr>
        <w:top w:val="none" w:sz="0" w:space="0" w:color="auto"/>
        <w:left w:val="none" w:sz="0" w:space="0" w:color="auto"/>
        <w:bottom w:val="none" w:sz="0" w:space="0" w:color="auto"/>
        <w:right w:val="none" w:sz="0" w:space="0" w:color="auto"/>
      </w:divBdr>
    </w:div>
    <w:div w:id="939142707">
      <w:bodyDiv w:val="1"/>
      <w:marLeft w:val="0"/>
      <w:marRight w:val="0"/>
      <w:marTop w:val="0"/>
      <w:marBottom w:val="0"/>
      <w:divBdr>
        <w:top w:val="none" w:sz="0" w:space="0" w:color="auto"/>
        <w:left w:val="none" w:sz="0" w:space="0" w:color="auto"/>
        <w:bottom w:val="none" w:sz="0" w:space="0" w:color="auto"/>
        <w:right w:val="none" w:sz="0" w:space="0" w:color="auto"/>
      </w:divBdr>
    </w:div>
    <w:div w:id="1111826666">
      <w:bodyDiv w:val="1"/>
      <w:marLeft w:val="0"/>
      <w:marRight w:val="0"/>
      <w:marTop w:val="0"/>
      <w:marBottom w:val="0"/>
      <w:divBdr>
        <w:top w:val="none" w:sz="0" w:space="0" w:color="auto"/>
        <w:left w:val="none" w:sz="0" w:space="0" w:color="auto"/>
        <w:bottom w:val="none" w:sz="0" w:space="0" w:color="auto"/>
        <w:right w:val="none" w:sz="0" w:space="0" w:color="auto"/>
      </w:divBdr>
    </w:div>
    <w:div w:id="1209103781">
      <w:bodyDiv w:val="1"/>
      <w:marLeft w:val="0"/>
      <w:marRight w:val="0"/>
      <w:marTop w:val="0"/>
      <w:marBottom w:val="0"/>
      <w:divBdr>
        <w:top w:val="none" w:sz="0" w:space="0" w:color="auto"/>
        <w:left w:val="none" w:sz="0" w:space="0" w:color="auto"/>
        <w:bottom w:val="none" w:sz="0" w:space="0" w:color="auto"/>
        <w:right w:val="none" w:sz="0" w:space="0" w:color="auto"/>
      </w:divBdr>
    </w:div>
    <w:div w:id="1321959120">
      <w:bodyDiv w:val="1"/>
      <w:marLeft w:val="0"/>
      <w:marRight w:val="0"/>
      <w:marTop w:val="0"/>
      <w:marBottom w:val="0"/>
      <w:divBdr>
        <w:top w:val="none" w:sz="0" w:space="0" w:color="auto"/>
        <w:left w:val="none" w:sz="0" w:space="0" w:color="auto"/>
        <w:bottom w:val="none" w:sz="0" w:space="0" w:color="auto"/>
        <w:right w:val="none" w:sz="0" w:space="0" w:color="auto"/>
      </w:divBdr>
    </w:div>
    <w:div w:id="1598899578">
      <w:bodyDiv w:val="1"/>
      <w:marLeft w:val="0"/>
      <w:marRight w:val="0"/>
      <w:marTop w:val="0"/>
      <w:marBottom w:val="0"/>
      <w:divBdr>
        <w:top w:val="none" w:sz="0" w:space="0" w:color="auto"/>
        <w:left w:val="none" w:sz="0" w:space="0" w:color="auto"/>
        <w:bottom w:val="none" w:sz="0" w:space="0" w:color="auto"/>
        <w:right w:val="none" w:sz="0" w:space="0" w:color="auto"/>
      </w:divBdr>
    </w:div>
    <w:div w:id="1655792314">
      <w:bodyDiv w:val="1"/>
      <w:marLeft w:val="0"/>
      <w:marRight w:val="0"/>
      <w:marTop w:val="0"/>
      <w:marBottom w:val="0"/>
      <w:divBdr>
        <w:top w:val="none" w:sz="0" w:space="0" w:color="auto"/>
        <w:left w:val="none" w:sz="0" w:space="0" w:color="auto"/>
        <w:bottom w:val="none" w:sz="0" w:space="0" w:color="auto"/>
        <w:right w:val="none" w:sz="0" w:space="0" w:color="auto"/>
      </w:divBdr>
    </w:div>
    <w:div w:id="1730575314">
      <w:bodyDiv w:val="1"/>
      <w:marLeft w:val="0"/>
      <w:marRight w:val="0"/>
      <w:marTop w:val="0"/>
      <w:marBottom w:val="0"/>
      <w:divBdr>
        <w:top w:val="none" w:sz="0" w:space="0" w:color="auto"/>
        <w:left w:val="none" w:sz="0" w:space="0" w:color="auto"/>
        <w:bottom w:val="none" w:sz="0" w:space="0" w:color="auto"/>
        <w:right w:val="none" w:sz="0" w:space="0" w:color="auto"/>
      </w:divBdr>
    </w:div>
    <w:div w:id="1900942295">
      <w:bodyDiv w:val="1"/>
      <w:marLeft w:val="0"/>
      <w:marRight w:val="0"/>
      <w:marTop w:val="0"/>
      <w:marBottom w:val="0"/>
      <w:divBdr>
        <w:top w:val="none" w:sz="0" w:space="0" w:color="auto"/>
        <w:left w:val="none" w:sz="0" w:space="0" w:color="auto"/>
        <w:bottom w:val="none" w:sz="0" w:space="0" w:color="auto"/>
        <w:right w:val="none" w:sz="0" w:space="0" w:color="auto"/>
      </w:divBdr>
    </w:div>
    <w:div w:id="1945993055">
      <w:bodyDiv w:val="1"/>
      <w:marLeft w:val="0"/>
      <w:marRight w:val="0"/>
      <w:marTop w:val="0"/>
      <w:marBottom w:val="0"/>
      <w:divBdr>
        <w:top w:val="none" w:sz="0" w:space="0" w:color="auto"/>
        <w:left w:val="none" w:sz="0" w:space="0" w:color="auto"/>
        <w:bottom w:val="none" w:sz="0" w:space="0" w:color="auto"/>
        <w:right w:val="none" w:sz="0" w:space="0" w:color="auto"/>
      </w:divBdr>
    </w:div>
    <w:div w:id="1990667896">
      <w:bodyDiv w:val="1"/>
      <w:marLeft w:val="0"/>
      <w:marRight w:val="0"/>
      <w:marTop w:val="0"/>
      <w:marBottom w:val="0"/>
      <w:divBdr>
        <w:top w:val="none" w:sz="0" w:space="0" w:color="auto"/>
        <w:left w:val="none" w:sz="0" w:space="0" w:color="auto"/>
        <w:bottom w:val="none" w:sz="0" w:space="0" w:color="auto"/>
        <w:right w:val="none" w:sz="0" w:space="0" w:color="auto"/>
      </w:divBdr>
    </w:div>
    <w:div w:id="2144426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hyperlink" Target="http://scf.rncan.gc.ca/nouvelles/457"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mffp.gouv.qc.ca/publications/forets/connaissances/recherche/Raymond-Patricia/Avis18.pdf" TargetMode="External"/><Relationship Id="rId2" Type="http://schemas.openxmlformats.org/officeDocument/2006/relationships/numbering" Target="numbering.xml"/><Relationship Id="rId16" Type="http://schemas.openxmlformats.org/officeDocument/2006/relationships/hyperlink" Target="http://www.cdpnq.gouv.qc.ca/pdf/liste_PMV_RepaRA_08_2008.pdf"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forestierenchef.gouv.qc.ca/fichiers/documents/resultats/uaf/FEC-FIC-723-62-51_v12.pdf"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24F36F-E144-476F-976C-7B96D86A84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9452</Words>
  <Characters>51987</Characters>
  <Application>Microsoft Office Word</Application>
  <DocSecurity>0</DocSecurity>
  <Lines>433</Lines>
  <Paragraphs>122</Paragraphs>
  <ScaleCrop>false</ScaleCrop>
  <HeadingPairs>
    <vt:vector size="2" baseType="variant">
      <vt:variant>
        <vt:lpstr>Titre</vt:lpstr>
      </vt:variant>
      <vt:variant>
        <vt:i4>1</vt:i4>
      </vt:variant>
    </vt:vector>
  </HeadingPairs>
  <TitlesOfParts>
    <vt:vector size="1" baseType="lpstr">
      <vt:lpstr>Document complémentaire au</vt:lpstr>
    </vt:vector>
  </TitlesOfParts>
  <Company>Microsoft</Company>
  <LinksUpToDate>false</LinksUpToDate>
  <CharactersWithSpaces>61317</CharactersWithSpaces>
  <SharedDoc>false</SharedDoc>
  <HLinks>
    <vt:vector size="306" baseType="variant">
      <vt:variant>
        <vt:i4>720960</vt:i4>
      </vt:variant>
      <vt:variant>
        <vt:i4>408</vt:i4>
      </vt:variant>
      <vt:variant>
        <vt:i4>0</vt:i4>
      </vt:variant>
      <vt:variant>
        <vt:i4>5</vt:i4>
      </vt:variant>
      <vt:variant>
        <vt:lpwstr>http://scf.rncan.gc.ca/nouvelles/457</vt:lpwstr>
      </vt:variant>
      <vt:variant>
        <vt:lpwstr/>
      </vt:variant>
      <vt:variant>
        <vt:i4>7667814</vt:i4>
      </vt:variant>
      <vt:variant>
        <vt:i4>405</vt:i4>
      </vt:variant>
      <vt:variant>
        <vt:i4>0</vt:i4>
      </vt:variant>
      <vt:variant>
        <vt:i4>5</vt:i4>
      </vt:variant>
      <vt:variant>
        <vt:lpwstr>http://www.cdpnq.gouv.qc.ca/pdf/liste_PMV_RepaRA_08_2008.pdf</vt:lpwstr>
      </vt:variant>
      <vt:variant>
        <vt:lpwstr/>
      </vt:variant>
      <vt:variant>
        <vt:i4>5505141</vt:i4>
      </vt:variant>
      <vt:variant>
        <vt:i4>402</vt:i4>
      </vt:variant>
      <vt:variant>
        <vt:i4>0</vt:i4>
      </vt:variant>
      <vt:variant>
        <vt:i4>5</vt:i4>
      </vt:variant>
      <vt:variant>
        <vt:lpwstr>http://www.forestierenchef.gouv.qc.ca/fichiers/documents/resultats/uaf/FEC-FIC-723-62-51_v12.pdf</vt:lpwstr>
      </vt:variant>
      <vt:variant>
        <vt:lpwstr/>
      </vt:variant>
      <vt:variant>
        <vt:i4>1441849</vt:i4>
      </vt:variant>
      <vt:variant>
        <vt:i4>290</vt:i4>
      </vt:variant>
      <vt:variant>
        <vt:i4>0</vt:i4>
      </vt:variant>
      <vt:variant>
        <vt:i4>5</vt:i4>
      </vt:variant>
      <vt:variant>
        <vt:lpwstr/>
      </vt:variant>
      <vt:variant>
        <vt:lpwstr>_Toc377988576</vt:lpwstr>
      </vt:variant>
      <vt:variant>
        <vt:i4>1441849</vt:i4>
      </vt:variant>
      <vt:variant>
        <vt:i4>284</vt:i4>
      </vt:variant>
      <vt:variant>
        <vt:i4>0</vt:i4>
      </vt:variant>
      <vt:variant>
        <vt:i4>5</vt:i4>
      </vt:variant>
      <vt:variant>
        <vt:lpwstr/>
      </vt:variant>
      <vt:variant>
        <vt:lpwstr>_Toc377988575</vt:lpwstr>
      </vt:variant>
      <vt:variant>
        <vt:i4>1441849</vt:i4>
      </vt:variant>
      <vt:variant>
        <vt:i4>278</vt:i4>
      </vt:variant>
      <vt:variant>
        <vt:i4>0</vt:i4>
      </vt:variant>
      <vt:variant>
        <vt:i4>5</vt:i4>
      </vt:variant>
      <vt:variant>
        <vt:lpwstr/>
      </vt:variant>
      <vt:variant>
        <vt:lpwstr>_Toc377988574</vt:lpwstr>
      </vt:variant>
      <vt:variant>
        <vt:i4>1441849</vt:i4>
      </vt:variant>
      <vt:variant>
        <vt:i4>272</vt:i4>
      </vt:variant>
      <vt:variant>
        <vt:i4>0</vt:i4>
      </vt:variant>
      <vt:variant>
        <vt:i4>5</vt:i4>
      </vt:variant>
      <vt:variant>
        <vt:lpwstr/>
      </vt:variant>
      <vt:variant>
        <vt:lpwstr>_Toc377988573</vt:lpwstr>
      </vt:variant>
      <vt:variant>
        <vt:i4>1441849</vt:i4>
      </vt:variant>
      <vt:variant>
        <vt:i4>266</vt:i4>
      </vt:variant>
      <vt:variant>
        <vt:i4>0</vt:i4>
      </vt:variant>
      <vt:variant>
        <vt:i4>5</vt:i4>
      </vt:variant>
      <vt:variant>
        <vt:lpwstr/>
      </vt:variant>
      <vt:variant>
        <vt:lpwstr>_Toc377988572</vt:lpwstr>
      </vt:variant>
      <vt:variant>
        <vt:i4>1441849</vt:i4>
      </vt:variant>
      <vt:variant>
        <vt:i4>260</vt:i4>
      </vt:variant>
      <vt:variant>
        <vt:i4>0</vt:i4>
      </vt:variant>
      <vt:variant>
        <vt:i4>5</vt:i4>
      </vt:variant>
      <vt:variant>
        <vt:lpwstr/>
      </vt:variant>
      <vt:variant>
        <vt:lpwstr>_Toc377988571</vt:lpwstr>
      </vt:variant>
      <vt:variant>
        <vt:i4>1441849</vt:i4>
      </vt:variant>
      <vt:variant>
        <vt:i4>254</vt:i4>
      </vt:variant>
      <vt:variant>
        <vt:i4>0</vt:i4>
      </vt:variant>
      <vt:variant>
        <vt:i4>5</vt:i4>
      </vt:variant>
      <vt:variant>
        <vt:lpwstr/>
      </vt:variant>
      <vt:variant>
        <vt:lpwstr>_Toc377988570</vt:lpwstr>
      </vt:variant>
      <vt:variant>
        <vt:i4>1507385</vt:i4>
      </vt:variant>
      <vt:variant>
        <vt:i4>248</vt:i4>
      </vt:variant>
      <vt:variant>
        <vt:i4>0</vt:i4>
      </vt:variant>
      <vt:variant>
        <vt:i4>5</vt:i4>
      </vt:variant>
      <vt:variant>
        <vt:lpwstr/>
      </vt:variant>
      <vt:variant>
        <vt:lpwstr>_Toc377988569</vt:lpwstr>
      </vt:variant>
      <vt:variant>
        <vt:i4>1507385</vt:i4>
      </vt:variant>
      <vt:variant>
        <vt:i4>242</vt:i4>
      </vt:variant>
      <vt:variant>
        <vt:i4>0</vt:i4>
      </vt:variant>
      <vt:variant>
        <vt:i4>5</vt:i4>
      </vt:variant>
      <vt:variant>
        <vt:lpwstr/>
      </vt:variant>
      <vt:variant>
        <vt:lpwstr>_Toc377988568</vt:lpwstr>
      </vt:variant>
      <vt:variant>
        <vt:i4>1507385</vt:i4>
      </vt:variant>
      <vt:variant>
        <vt:i4>236</vt:i4>
      </vt:variant>
      <vt:variant>
        <vt:i4>0</vt:i4>
      </vt:variant>
      <vt:variant>
        <vt:i4>5</vt:i4>
      </vt:variant>
      <vt:variant>
        <vt:lpwstr/>
      </vt:variant>
      <vt:variant>
        <vt:lpwstr>_Toc377988567</vt:lpwstr>
      </vt:variant>
      <vt:variant>
        <vt:i4>1507385</vt:i4>
      </vt:variant>
      <vt:variant>
        <vt:i4>230</vt:i4>
      </vt:variant>
      <vt:variant>
        <vt:i4>0</vt:i4>
      </vt:variant>
      <vt:variant>
        <vt:i4>5</vt:i4>
      </vt:variant>
      <vt:variant>
        <vt:lpwstr/>
      </vt:variant>
      <vt:variant>
        <vt:lpwstr>_Toc377988566</vt:lpwstr>
      </vt:variant>
      <vt:variant>
        <vt:i4>1507385</vt:i4>
      </vt:variant>
      <vt:variant>
        <vt:i4>224</vt:i4>
      </vt:variant>
      <vt:variant>
        <vt:i4>0</vt:i4>
      </vt:variant>
      <vt:variant>
        <vt:i4>5</vt:i4>
      </vt:variant>
      <vt:variant>
        <vt:lpwstr/>
      </vt:variant>
      <vt:variant>
        <vt:lpwstr>_Toc377988565</vt:lpwstr>
      </vt:variant>
      <vt:variant>
        <vt:i4>1507385</vt:i4>
      </vt:variant>
      <vt:variant>
        <vt:i4>215</vt:i4>
      </vt:variant>
      <vt:variant>
        <vt:i4>0</vt:i4>
      </vt:variant>
      <vt:variant>
        <vt:i4>5</vt:i4>
      </vt:variant>
      <vt:variant>
        <vt:lpwstr/>
      </vt:variant>
      <vt:variant>
        <vt:lpwstr>_Toc377988564</vt:lpwstr>
      </vt:variant>
      <vt:variant>
        <vt:i4>1507385</vt:i4>
      </vt:variant>
      <vt:variant>
        <vt:i4>209</vt:i4>
      </vt:variant>
      <vt:variant>
        <vt:i4>0</vt:i4>
      </vt:variant>
      <vt:variant>
        <vt:i4>5</vt:i4>
      </vt:variant>
      <vt:variant>
        <vt:lpwstr/>
      </vt:variant>
      <vt:variant>
        <vt:lpwstr>_Toc377988563</vt:lpwstr>
      </vt:variant>
      <vt:variant>
        <vt:i4>1507385</vt:i4>
      </vt:variant>
      <vt:variant>
        <vt:i4>203</vt:i4>
      </vt:variant>
      <vt:variant>
        <vt:i4>0</vt:i4>
      </vt:variant>
      <vt:variant>
        <vt:i4>5</vt:i4>
      </vt:variant>
      <vt:variant>
        <vt:lpwstr/>
      </vt:variant>
      <vt:variant>
        <vt:lpwstr>_Toc377988562</vt:lpwstr>
      </vt:variant>
      <vt:variant>
        <vt:i4>1507385</vt:i4>
      </vt:variant>
      <vt:variant>
        <vt:i4>197</vt:i4>
      </vt:variant>
      <vt:variant>
        <vt:i4>0</vt:i4>
      </vt:variant>
      <vt:variant>
        <vt:i4>5</vt:i4>
      </vt:variant>
      <vt:variant>
        <vt:lpwstr/>
      </vt:variant>
      <vt:variant>
        <vt:lpwstr>_Toc377988561</vt:lpwstr>
      </vt:variant>
      <vt:variant>
        <vt:i4>1507385</vt:i4>
      </vt:variant>
      <vt:variant>
        <vt:i4>191</vt:i4>
      </vt:variant>
      <vt:variant>
        <vt:i4>0</vt:i4>
      </vt:variant>
      <vt:variant>
        <vt:i4>5</vt:i4>
      </vt:variant>
      <vt:variant>
        <vt:lpwstr/>
      </vt:variant>
      <vt:variant>
        <vt:lpwstr>_Toc377988560</vt:lpwstr>
      </vt:variant>
      <vt:variant>
        <vt:i4>1310777</vt:i4>
      </vt:variant>
      <vt:variant>
        <vt:i4>185</vt:i4>
      </vt:variant>
      <vt:variant>
        <vt:i4>0</vt:i4>
      </vt:variant>
      <vt:variant>
        <vt:i4>5</vt:i4>
      </vt:variant>
      <vt:variant>
        <vt:lpwstr/>
      </vt:variant>
      <vt:variant>
        <vt:lpwstr>_Toc377988559</vt:lpwstr>
      </vt:variant>
      <vt:variant>
        <vt:i4>1310777</vt:i4>
      </vt:variant>
      <vt:variant>
        <vt:i4>176</vt:i4>
      </vt:variant>
      <vt:variant>
        <vt:i4>0</vt:i4>
      </vt:variant>
      <vt:variant>
        <vt:i4>5</vt:i4>
      </vt:variant>
      <vt:variant>
        <vt:lpwstr/>
      </vt:variant>
      <vt:variant>
        <vt:lpwstr>_Toc377988558</vt:lpwstr>
      </vt:variant>
      <vt:variant>
        <vt:i4>1310777</vt:i4>
      </vt:variant>
      <vt:variant>
        <vt:i4>170</vt:i4>
      </vt:variant>
      <vt:variant>
        <vt:i4>0</vt:i4>
      </vt:variant>
      <vt:variant>
        <vt:i4>5</vt:i4>
      </vt:variant>
      <vt:variant>
        <vt:lpwstr/>
      </vt:variant>
      <vt:variant>
        <vt:lpwstr>_Toc377988557</vt:lpwstr>
      </vt:variant>
      <vt:variant>
        <vt:i4>1310777</vt:i4>
      </vt:variant>
      <vt:variant>
        <vt:i4>164</vt:i4>
      </vt:variant>
      <vt:variant>
        <vt:i4>0</vt:i4>
      </vt:variant>
      <vt:variant>
        <vt:i4>5</vt:i4>
      </vt:variant>
      <vt:variant>
        <vt:lpwstr/>
      </vt:variant>
      <vt:variant>
        <vt:lpwstr>_Toc377988556</vt:lpwstr>
      </vt:variant>
      <vt:variant>
        <vt:i4>1310777</vt:i4>
      </vt:variant>
      <vt:variant>
        <vt:i4>158</vt:i4>
      </vt:variant>
      <vt:variant>
        <vt:i4>0</vt:i4>
      </vt:variant>
      <vt:variant>
        <vt:i4>5</vt:i4>
      </vt:variant>
      <vt:variant>
        <vt:lpwstr/>
      </vt:variant>
      <vt:variant>
        <vt:lpwstr>_Toc377988555</vt:lpwstr>
      </vt:variant>
      <vt:variant>
        <vt:i4>1310777</vt:i4>
      </vt:variant>
      <vt:variant>
        <vt:i4>152</vt:i4>
      </vt:variant>
      <vt:variant>
        <vt:i4>0</vt:i4>
      </vt:variant>
      <vt:variant>
        <vt:i4>5</vt:i4>
      </vt:variant>
      <vt:variant>
        <vt:lpwstr/>
      </vt:variant>
      <vt:variant>
        <vt:lpwstr>_Toc377988554</vt:lpwstr>
      </vt:variant>
      <vt:variant>
        <vt:i4>1310777</vt:i4>
      </vt:variant>
      <vt:variant>
        <vt:i4>146</vt:i4>
      </vt:variant>
      <vt:variant>
        <vt:i4>0</vt:i4>
      </vt:variant>
      <vt:variant>
        <vt:i4>5</vt:i4>
      </vt:variant>
      <vt:variant>
        <vt:lpwstr/>
      </vt:variant>
      <vt:variant>
        <vt:lpwstr>_Toc377988553</vt:lpwstr>
      </vt:variant>
      <vt:variant>
        <vt:i4>1310777</vt:i4>
      </vt:variant>
      <vt:variant>
        <vt:i4>140</vt:i4>
      </vt:variant>
      <vt:variant>
        <vt:i4>0</vt:i4>
      </vt:variant>
      <vt:variant>
        <vt:i4>5</vt:i4>
      </vt:variant>
      <vt:variant>
        <vt:lpwstr/>
      </vt:variant>
      <vt:variant>
        <vt:lpwstr>_Toc377988552</vt:lpwstr>
      </vt:variant>
      <vt:variant>
        <vt:i4>1310777</vt:i4>
      </vt:variant>
      <vt:variant>
        <vt:i4>134</vt:i4>
      </vt:variant>
      <vt:variant>
        <vt:i4>0</vt:i4>
      </vt:variant>
      <vt:variant>
        <vt:i4>5</vt:i4>
      </vt:variant>
      <vt:variant>
        <vt:lpwstr/>
      </vt:variant>
      <vt:variant>
        <vt:lpwstr>_Toc377988551</vt:lpwstr>
      </vt:variant>
      <vt:variant>
        <vt:i4>1310777</vt:i4>
      </vt:variant>
      <vt:variant>
        <vt:i4>128</vt:i4>
      </vt:variant>
      <vt:variant>
        <vt:i4>0</vt:i4>
      </vt:variant>
      <vt:variant>
        <vt:i4>5</vt:i4>
      </vt:variant>
      <vt:variant>
        <vt:lpwstr/>
      </vt:variant>
      <vt:variant>
        <vt:lpwstr>_Toc377988550</vt:lpwstr>
      </vt:variant>
      <vt:variant>
        <vt:i4>1376313</vt:i4>
      </vt:variant>
      <vt:variant>
        <vt:i4>122</vt:i4>
      </vt:variant>
      <vt:variant>
        <vt:i4>0</vt:i4>
      </vt:variant>
      <vt:variant>
        <vt:i4>5</vt:i4>
      </vt:variant>
      <vt:variant>
        <vt:lpwstr/>
      </vt:variant>
      <vt:variant>
        <vt:lpwstr>_Toc377988549</vt:lpwstr>
      </vt:variant>
      <vt:variant>
        <vt:i4>1376313</vt:i4>
      </vt:variant>
      <vt:variant>
        <vt:i4>116</vt:i4>
      </vt:variant>
      <vt:variant>
        <vt:i4>0</vt:i4>
      </vt:variant>
      <vt:variant>
        <vt:i4>5</vt:i4>
      </vt:variant>
      <vt:variant>
        <vt:lpwstr/>
      </vt:variant>
      <vt:variant>
        <vt:lpwstr>_Toc377988548</vt:lpwstr>
      </vt:variant>
      <vt:variant>
        <vt:i4>1376313</vt:i4>
      </vt:variant>
      <vt:variant>
        <vt:i4>110</vt:i4>
      </vt:variant>
      <vt:variant>
        <vt:i4>0</vt:i4>
      </vt:variant>
      <vt:variant>
        <vt:i4>5</vt:i4>
      </vt:variant>
      <vt:variant>
        <vt:lpwstr/>
      </vt:variant>
      <vt:variant>
        <vt:lpwstr>_Toc377988547</vt:lpwstr>
      </vt:variant>
      <vt:variant>
        <vt:i4>1376313</vt:i4>
      </vt:variant>
      <vt:variant>
        <vt:i4>104</vt:i4>
      </vt:variant>
      <vt:variant>
        <vt:i4>0</vt:i4>
      </vt:variant>
      <vt:variant>
        <vt:i4>5</vt:i4>
      </vt:variant>
      <vt:variant>
        <vt:lpwstr/>
      </vt:variant>
      <vt:variant>
        <vt:lpwstr>_Toc377988546</vt:lpwstr>
      </vt:variant>
      <vt:variant>
        <vt:i4>1376313</vt:i4>
      </vt:variant>
      <vt:variant>
        <vt:i4>98</vt:i4>
      </vt:variant>
      <vt:variant>
        <vt:i4>0</vt:i4>
      </vt:variant>
      <vt:variant>
        <vt:i4>5</vt:i4>
      </vt:variant>
      <vt:variant>
        <vt:lpwstr/>
      </vt:variant>
      <vt:variant>
        <vt:lpwstr>_Toc377988545</vt:lpwstr>
      </vt:variant>
      <vt:variant>
        <vt:i4>1376313</vt:i4>
      </vt:variant>
      <vt:variant>
        <vt:i4>92</vt:i4>
      </vt:variant>
      <vt:variant>
        <vt:i4>0</vt:i4>
      </vt:variant>
      <vt:variant>
        <vt:i4>5</vt:i4>
      </vt:variant>
      <vt:variant>
        <vt:lpwstr/>
      </vt:variant>
      <vt:variant>
        <vt:lpwstr>_Toc377988544</vt:lpwstr>
      </vt:variant>
      <vt:variant>
        <vt:i4>1376313</vt:i4>
      </vt:variant>
      <vt:variant>
        <vt:i4>86</vt:i4>
      </vt:variant>
      <vt:variant>
        <vt:i4>0</vt:i4>
      </vt:variant>
      <vt:variant>
        <vt:i4>5</vt:i4>
      </vt:variant>
      <vt:variant>
        <vt:lpwstr/>
      </vt:variant>
      <vt:variant>
        <vt:lpwstr>_Toc377988543</vt:lpwstr>
      </vt:variant>
      <vt:variant>
        <vt:i4>1376313</vt:i4>
      </vt:variant>
      <vt:variant>
        <vt:i4>80</vt:i4>
      </vt:variant>
      <vt:variant>
        <vt:i4>0</vt:i4>
      </vt:variant>
      <vt:variant>
        <vt:i4>5</vt:i4>
      </vt:variant>
      <vt:variant>
        <vt:lpwstr/>
      </vt:variant>
      <vt:variant>
        <vt:lpwstr>_Toc377988542</vt:lpwstr>
      </vt:variant>
      <vt:variant>
        <vt:i4>1376313</vt:i4>
      </vt:variant>
      <vt:variant>
        <vt:i4>74</vt:i4>
      </vt:variant>
      <vt:variant>
        <vt:i4>0</vt:i4>
      </vt:variant>
      <vt:variant>
        <vt:i4>5</vt:i4>
      </vt:variant>
      <vt:variant>
        <vt:lpwstr/>
      </vt:variant>
      <vt:variant>
        <vt:lpwstr>_Toc377988541</vt:lpwstr>
      </vt:variant>
      <vt:variant>
        <vt:i4>1376313</vt:i4>
      </vt:variant>
      <vt:variant>
        <vt:i4>68</vt:i4>
      </vt:variant>
      <vt:variant>
        <vt:i4>0</vt:i4>
      </vt:variant>
      <vt:variant>
        <vt:i4>5</vt:i4>
      </vt:variant>
      <vt:variant>
        <vt:lpwstr/>
      </vt:variant>
      <vt:variant>
        <vt:lpwstr>_Toc377988540</vt:lpwstr>
      </vt:variant>
      <vt:variant>
        <vt:i4>1179705</vt:i4>
      </vt:variant>
      <vt:variant>
        <vt:i4>62</vt:i4>
      </vt:variant>
      <vt:variant>
        <vt:i4>0</vt:i4>
      </vt:variant>
      <vt:variant>
        <vt:i4>5</vt:i4>
      </vt:variant>
      <vt:variant>
        <vt:lpwstr/>
      </vt:variant>
      <vt:variant>
        <vt:lpwstr>_Toc377988539</vt:lpwstr>
      </vt:variant>
      <vt:variant>
        <vt:i4>1179705</vt:i4>
      </vt:variant>
      <vt:variant>
        <vt:i4>56</vt:i4>
      </vt:variant>
      <vt:variant>
        <vt:i4>0</vt:i4>
      </vt:variant>
      <vt:variant>
        <vt:i4>5</vt:i4>
      </vt:variant>
      <vt:variant>
        <vt:lpwstr/>
      </vt:variant>
      <vt:variant>
        <vt:lpwstr>_Toc377988538</vt:lpwstr>
      </vt:variant>
      <vt:variant>
        <vt:i4>1179705</vt:i4>
      </vt:variant>
      <vt:variant>
        <vt:i4>50</vt:i4>
      </vt:variant>
      <vt:variant>
        <vt:i4>0</vt:i4>
      </vt:variant>
      <vt:variant>
        <vt:i4>5</vt:i4>
      </vt:variant>
      <vt:variant>
        <vt:lpwstr/>
      </vt:variant>
      <vt:variant>
        <vt:lpwstr>_Toc377988537</vt:lpwstr>
      </vt:variant>
      <vt:variant>
        <vt:i4>1179705</vt:i4>
      </vt:variant>
      <vt:variant>
        <vt:i4>44</vt:i4>
      </vt:variant>
      <vt:variant>
        <vt:i4>0</vt:i4>
      </vt:variant>
      <vt:variant>
        <vt:i4>5</vt:i4>
      </vt:variant>
      <vt:variant>
        <vt:lpwstr/>
      </vt:variant>
      <vt:variant>
        <vt:lpwstr>_Toc377988536</vt:lpwstr>
      </vt:variant>
      <vt:variant>
        <vt:i4>1179705</vt:i4>
      </vt:variant>
      <vt:variant>
        <vt:i4>38</vt:i4>
      </vt:variant>
      <vt:variant>
        <vt:i4>0</vt:i4>
      </vt:variant>
      <vt:variant>
        <vt:i4>5</vt:i4>
      </vt:variant>
      <vt:variant>
        <vt:lpwstr/>
      </vt:variant>
      <vt:variant>
        <vt:lpwstr>_Toc377988535</vt:lpwstr>
      </vt:variant>
      <vt:variant>
        <vt:i4>1179705</vt:i4>
      </vt:variant>
      <vt:variant>
        <vt:i4>32</vt:i4>
      </vt:variant>
      <vt:variant>
        <vt:i4>0</vt:i4>
      </vt:variant>
      <vt:variant>
        <vt:i4>5</vt:i4>
      </vt:variant>
      <vt:variant>
        <vt:lpwstr/>
      </vt:variant>
      <vt:variant>
        <vt:lpwstr>_Toc377988534</vt:lpwstr>
      </vt:variant>
      <vt:variant>
        <vt:i4>1179705</vt:i4>
      </vt:variant>
      <vt:variant>
        <vt:i4>26</vt:i4>
      </vt:variant>
      <vt:variant>
        <vt:i4>0</vt:i4>
      </vt:variant>
      <vt:variant>
        <vt:i4>5</vt:i4>
      </vt:variant>
      <vt:variant>
        <vt:lpwstr/>
      </vt:variant>
      <vt:variant>
        <vt:lpwstr>_Toc377988533</vt:lpwstr>
      </vt:variant>
      <vt:variant>
        <vt:i4>1179705</vt:i4>
      </vt:variant>
      <vt:variant>
        <vt:i4>20</vt:i4>
      </vt:variant>
      <vt:variant>
        <vt:i4>0</vt:i4>
      </vt:variant>
      <vt:variant>
        <vt:i4>5</vt:i4>
      </vt:variant>
      <vt:variant>
        <vt:lpwstr/>
      </vt:variant>
      <vt:variant>
        <vt:lpwstr>_Toc377988532</vt:lpwstr>
      </vt:variant>
      <vt:variant>
        <vt:i4>1179705</vt:i4>
      </vt:variant>
      <vt:variant>
        <vt:i4>14</vt:i4>
      </vt:variant>
      <vt:variant>
        <vt:i4>0</vt:i4>
      </vt:variant>
      <vt:variant>
        <vt:i4>5</vt:i4>
      </vt:variant>
      <vt:variant>
        <vt:lpwstr/>
      </vt:variant>
      <vt:variant>
        <vt:lpwstr>_Toc377988531</vt:lpwstr>
      </vt:variant>
      <vt:variant>
        <vt:i4>1179705</vt:i4>
      </vt:variant>
      <vt:variant>
        <vt:i4>8</vt:i4>
      </vt:variant>
      <vt:variant>
        <vt:i4>0</vt:i4>
      </vt:variant>
      <vt:variant>
        <vt:i4>5</vt:i4>
      </vt:variant>
      <vt:variant>
        <vt:lpwstr/>
      </vt:variant>
      <vt:variant>
        <vt:lpwstr>_Toc377988530</vt:lpwstr>
      </vt:variant>
      <vt:variant>
        <vt:i4>1245241</vt:i4>
      </vt:variant>
      <vt:variant>
        <vt:i4>2</vt:i4>
      </vt:variant>
      <vt:variant>
        <vt:i4>0</vt:i4>
      </vt:variant>
      <vt:variant>
        <vt:i4>5</vt:i4>
      </vt:variant>
      <vt:variant>
        <vt:lpwstr/>
      </vt:variant>
      <vt:variant>
        <vt:lpwstr>_Toc377988529</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complémentaire au</dc:title>
  <dc:creator>ehovington</dc:creator>
  <cp:lastModifiedBy>Brett Carpentier</cp:lastModifiedBy>
  <cp:revision>3</cp:revision>
  <cp:lastPrinted>2017-06-06T15:56:00Z</cp:lastPrinted>
  <dcterms:created xsi:type="dcterms:W3CDTF">2018-01-25T17:02:00Z</dcterms:created>
  <dcterms:modified xsi:type="dcterms:W3CDTF">2018-01-25T17:02:00Z</dcterms:modified>
</cp:coreProperties>
</file>